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82" w:lineRule="exact"/>
        <w:rPr>
          <w:sz w:val="24"/>
          <w:szCs w:val="24"/>
          <w:color w:val="auto"/>
        </w:rPr>
      </w:pPr>
    </w:p>
    <w:p>
      <w:pPr>
        <w:ind w:left="140"/>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65"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For the quarterly period ended March 31, 2023</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72" w:right="339" w:bottom="1440" w:gutter="0" w:footer="0" w:header="0"/>
        </w:sectPr>
      </w:pPr>
    </w:p>
    <w:p>
      <w:pPr>
        <w:spacing w:after="0" w:line="66" w:lineRule="exact"/>
        <w:rPr>
          <w:sz w:val="24"/>
          <w:szCs w:val="24"/>
          <w:color w:val="auto"/>
        </w:rPr>
      </w:pPr>
    </w:p>
    <w:p>
      <w:pPr>
        <w:ind w:left="10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372" w:right="339" w:bottom="1440" w:gutter="0" w:footer="0" w:header="0"/>
          <w:type w:val="continuous"/>
        </w:sect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001-39548</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BENTLEY SYSTEMS, INCORPORATED</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1"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ectPr>
          <w:pgSz w:w="11900" w:h="16838" w:orient="portrait"/>
          <w:cols w:equalWidth="0" w:num="1">
            <w:col w:w="11240"/>
          </w:cols>
          <w:pgMar w:left="320" w:top="1372" w:right="339" w:bottom="1440" w:gutter="0" w:footer="0" w:header="0"/>
          <w:type w:val="continuous"/>
        </w:sectPr>
      </w:pPr>
    </w:p>
    <w:p>
      <w:pPr>
        <w:spacing w:after="0" w:line="277" w:lineRule="exact"/>
        <w:rPr>
          <w:sz w:val="24"/>
          <w:szCs w:val="24"/>
          <w:color w:val="auto"/>
        </w:rPr>
      </w:pPr>
    </w:p>
    <w:p>
      <w:pPr>
        <w:ind w:left="22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95-3936623</w:t>
      </w:r>
    </w:p>
    <w:p>
      <w:pPr>
        <w:spacing w:after="0" w:line="90" w:lineRule="exact"/>
        <w:rPr>
          <w:sz w:val="24"/>
          <w:szCs w:val="24"/>
          <w:color w:val="auto"/>
        </w:rPr>
      </w:pPr>
    </w:p>
    <w:p>
      <w:pPr>
        <w:sectPr>
          <w:pgSz w:w="11900" w:h="16838" w:orient="portrait"/>
          <w:cols w:equalWidth="0" w:num="2">
            <w:col w:w="7600" w:space="720"/>
            <w:col w:w="2920"/>
          </w:cols>
          <w:pgMar w:left="320" w:top="1372" w:right="339" w:bottom="1440" w:gutter="0" w:footer="0" w:header="0"/>
          <w:type w:val="continuous"/>
        </w:sectPr>
      </w:pPr>
    </w:p>
    <w:p>
      <w:pPr>
        <w:ind w:left="8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52" w:lineRule="exact"/>
        <w:rPr>
          <w:sz w:val="24"/>
          <w:szCs w:val="24"/>
          <w:color w:val="auto"/>
        </w:rPr>
      </w:pPr>
    </w:p>
    <w:p>
      <w:pPr>
        <w:sectPr>
          <w:pgSz w:w="11900" w:h="16838" w:orient="portrait"/>
          <w:cols w:equalWidth="0" w:num="2">
            <w:col w:w="6940" w:space="720"/>
            <w:col w:w="3580"/>
          </w:cols>
          <w:pgMar w:left="320" w:top="1372" w:right="339" w:bottom="1440" w:gutter="0" w:footer="0" w:header="0"/>
          <w:type w:val="continuous"/>
        </w:sectPr>
      </w:pPr>
    </w:p>
    <w:p>
      <w:pPr>
        <w:ind w:left="1880"/>
        <w:spacing w:after="0"/>
        <w:rPr>
          <w:sz w:val="20"/>
          <w:szCs w:val="20"/>
          <w:color w:val="auto"/>
        </w:rPr>
      </w:pPr>
      <w:r>
        <w:rPr>
          <w:rFonts w:ascii="Arial" w:cs="Arial" w:eastAsia="Arial" w:hAnsi="Arial"/>
          <w:sz w:val="15"/>
          <w:szCs w:val="15"/>
          <w:b w:val="1"/>
          <w:bCs w:val="1"/>
          <w:color w:val="auto"/>
        </w:rPr>
        <w:t>685 Stockton Drive</w:t>
      </w:r>
    </w:p>
    <w:p>
      <w:pPr>
        <w:spacing w:after="0" w:line="44"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19341</w:t>
      </w:r>
    </w:p>
    <w:p>
      <w:pPr>
        <w:spacing w:after="0" w:line="50" w:lineRule="exact"/>
        <w:rPr>
          <w:sz w:val="24"/>
          <w:szCs w:val="24"/>
          <w:color w:val="auto"/>
        </w:rPr>
      </w:pPr>
    </w:p>
    <w:p>
      <w:pPr>
        <w:sectPr>
          <w:pgSz w:w="11900" w:h="16838" w:orient="portrait"/>
          <w:cols w:equalWidth="0" w:num="2">
            <w:col w:w="7780" w:space="720"/>
            <w:col w:w="2740"/>
          </w:cols>
          <w:pgMar w:left="320" w:top="1372" w:right="339"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52" w:lineRule="exact"/>
        <w:rPr>
          <w:sz w:val="24"/>
          <w:szCs w:val="24"/>
          <w:color w:val="auto"/>
        </w:rPr>
      </w:pPr>
    </w:p>
    <w:p>
      <w:pPr>
        <w:sectPr>
          <w:pgSz w:w="11900" w:h="16838" w:orient="portrait"/>
          <w:cols w:equalWidth="0" w:num="2">
            <w:col w:w="7660" w:space="720"/>
            <w:col w:w="2860"/>
          </w:cols>
          <w:pgMar w:left="320" w:top="1372"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(610) 458-5000</w:t>
      </w:r>
    </w:p>
    <w:p>
      <w:pPr>
        <w:spacing w:after="0" w:line="26"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___________________________________</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512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459"/>
        </w:trPr>
        <w:tc>
          <w:tcPr>
            <w:tcW w:w="960" w:type="dxa"/>
            <w:vAlign w:val="bottom"/>
          </w:tcPr>
          <w:p>
            <w:pPr>
              <w:spacing w:after="0"/>
              <w:rPr>
                <w:sz w:val="24"/>
                <w:szCs w:val="24"/>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Title of each class</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Trading Symbol</w:t>
            </w:r>
          </w:p>
        </w:tc>
        <w:tc>
          <w:tcPr>
            <w:tcW w:w="336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5"/>
        </w:trPr>
        <w:tc>
          <w:tcPr>
            <w:tcW w:w="96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184"/>
        </w:trPr>
        <w:tc>
          <w:tcPr>
            <w:tcW w:w="960" w:type="dxa"/>
            <w:vAlign w:val="bottom"/>
          </w:tcPr>
          <w:p>
            <w:pPr>
              <w:spacing w:after="0"/>
              <w:rPr>
                <w:sz w:val="16"/>
                <w:szCs w:val="16"/>
                <w:color w:val="auto"/>
              </w:rPr>
            </w:pPr>
          </w:p>
        </w:tc>
        <w:tc>
          <w:tcPr>
            <w:tcW w:w="4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Class B Common Stock, par value $0.01 per share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BSY</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331"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11240"/>
          </w:cols>
          <w:pgMar w:left="320" w:top="1372" w:right="339" w:bottom="1440" w:gutter="0" w:footer="0" w:header="0"/>
          <w:type w:val="continuous"/>
        </w:sectPr>
      </w:pPr>
    </w:p>
    <w:p>
      <w:pPr>
        <w:spacing w:after="0" w:line="21" w:lineRule="exact"/>
        <w:rPr>
          <w:sz w:val="24"/>
          <w:szCs w:val="24"/>
          <w:color w:val="auto"/>
        </w:rPr>
      </w:pPr>
    </w:p>
    <w:p>
      <w:pPr>
        <w:ind w:left="11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7300" w:space="720"/>
            <w:col w:w="3220"/>
          </w:cols>
          <w:pgMar w:left="320" w:top="1372" w:right="339" w:bottom="1440" w:gutter="0" w:footer="0" w:header="0"/>
          <w:type w:val="continuous"/>
        </w:sectPr>
      </w:pPr>
    </w:p>
    <w:p>
      <w:pPr>
        <w:ind w:left="11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80" w:lineRule="exact"/>
        <w:rPr>
          <w:sz w:val="24"/>
          <w:szCs w:val="24"/>
          <w:color w:val="auto"/>
        </w:rPr>
      </w:pPr>
    </w:p>
    <w:p>
      <w:pPr>
        <w:sectPr>
          <w:pgSz w:w="11900" w:h="16838" w:orient="portrait"/>
          <w:cols w:equalWidth="0" w:num="2">
            <w:col w:w="7300" w:space="720"/>
            <w:col w:w="3220"/>
          </w:cols>
          <w:pgMar w:left="320" w:top="1372" w:right="339" w:bottom="1440" w:gutter="0" w:footer="0" w:header="0"/>
          <w:type w:val="continuous"/>
        </w:sectPr>
      </w:pPr>
    </w:p>
    <w:p>
      <w:pPr>
        <w:ind w:left="80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1372" w:right="339" w:bottom="1440" w:gutter="0" w:footer="0" w:header="0"/>
          <w:type w:val="continuous"/>
        </w:sectPr>
      </w:pPr>
    </w:p>
    <w:p>
      <w:pPr>
        <w:spacing w:after="0" w:line="161"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4"/>
          <w:szCs w:val="14"/>
          <w:color w:val="auto"/>
        </w:rPr>
        <w:t>As of May 2, 2023, the registrant had 11,601,757 shares of Class A and 281,770,044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type w:val="continuous"/>
        </w:sectPr>
      </w:pPr>
    </w:p>
    <w:bookmarkStart w:id="1" w:name="page2"/>
    <w:bookmarkEnd w:id="1"/>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120" w:type="dxa"/>
            <w:vAlign w:val="bottom"/>
            <w:gridSpan w:val="3"/>
          </w:tcPr>
          <w:p>
            <w:pPr>
              <w:ind w:left="176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0"/>
        </w:trPr>
        <w:tc>
          <w:tcPr>
            <w:tcW w:w="4160" w:type="dxa"/>
            <w:vAlign w:val="bottom"/>
            <w:gridSpan w:val="18"/>
          </w:tcPr>
          <w:p>
            <w:pPr>
              <w:spacing w:after="0" w:line="190" w:lineRule="exact"/>
              <w:rPr>
                <w:sz w:val="20"/>
                <w:szCs w:val="20"/>
                <w:color w:val="auto"/>
              </w:rPr>
            </w:pPr>
            <w:r>
              <w:rPr>
                <w:rFonts w:ascii="Arial" w:cs="Arial" w:eastAsia="Arial" w:hAnsi="Arial"/>
                <w:sz w:val="18"/>
                <w:szCs w:val="18"/>
                <w:color w:val="0000FF"/>
                <w:w w:val="91"/>
              </w:rPr>
              <w:t>Cautionary Note Regarding Forward-Looking Statements</w:t>
            </w:r>
          </w:p>
        </w:tc>
        <w:tc>
          <w:tcPr>
            <w:tcW w:w="4760" w:type="dxa"/>
            <w:vAlign w:val="bottom"/>
            <w:gridSpan w:val="4"/>
          </w:tcPr>
          <w:p>
            <w:pPr>
              <w:spacing w:after="0"/>
              <w:rPr>
                <w:sz w:val="16"/>
                <w:szCs w:val="16"/>
                <w:color w:val="auto"/>
              </w:rPr>
            </w:pPr>
          </w:p>
        </w:tc>
        <w:tc>
          <w:tcPr>
            <w:tcW w:w="2020" w:type="dxa"/>
            <w:vAlign w:val="bottom"/>
            <w:gridSpan w:val="2"/>
          </w:tcPr>
          <w:p>
            <w:pPr>
              <w:jc w:val="center"/>
              <w:ind w:left="1770"/>
              <w:spacing w:after="0" w:line="190" w:lineRule="exact"/>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416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PART I. FINANCIAL INFORMATION</w:t>
            </w:r>
          </w:p>
        </w:tc>
        <w:tc>
          <w:tcPr>
            <w:tcW w:w="4760" w:type="dxa"/>
            <w:vAlign w:val="bottom"/>
            <w:gridSpan w:val="4"/>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Item 1. Unaudited Consolidated Financial Statements</w:t>
            </w:r>
          </w:p>
        </w:tc>
        <w:tc>
          <w:tcPr>
            <w:tcW w:w="4900" w:type="dxa"/>
            <w:vAlign w:val="bottom"/>
            <w:gridSpan w:val="6"/>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87"/>
              </w:rPr>
              <w:t>Consolidated Balance Sheets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0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20" w:type="dxa"/>
            <w:vAlign w:val="bottom"/>
            <w:gridSpan w:val="2"/>
          </w:tcPr>
          <w:p>
            <w:pPr>
              <w:jc w:val="center"/>
              <w:ind w:left="1770"/>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10"/>
            <w:vMerge w:val="restart"/>
          </w:tcPr>
          <w:p>
            <w:pPr>
              <w:ind w:left="20"/>
              <w:spacing w:after="0"/>
              <w:rPr>
                <w:sz w:val="20"/>
                <w:szCs w:val="20"/>
                <w:color w:val="auto"/>
              </w:rPr>
            </w:pPr>
            <w:r>
              <w:rPr>
                <w:rFonts w:ascii="Arial" w:cs="Arial" w:eastAsia="Arial" w:hAnsi="Arial"/>
                <w:sz w:val="18"/>
                <w:szCs w:val="18"/>
                <w:color w:val="0000FF"/>
                <w:w w:val="88"/>
              </w:rPr>
              <w:t>Consolidated Statements of Operations</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Borders>
              <w:bottom w:val="single" w:sz="8" w:color="0000FF"/>
            </w:tcBorders>
            <w:gridSpan w:val="10"/>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20" w:type="dxa"/>
            <w:vAlign w:val="bottom"/>
            <w:gridSpan w:val="2"/>
          </w:tcPr>
          <w:p>
            <w:pPr>
              <w:jc w:val="center"/>
              <w:ind w:left="177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gridSpan w:val="15"/>
            <w:vMerge w:val="restart"/>
          </w:tcPr>
          <w:p>
            <w:pPr>
              <w:ind w:left="20"/>
              <w:spacing w:after="0"/>
              <w:rPr>
                <w:sz w:val="20"/>
                <w:szCs w:val="20"/>
                <w:color w:val="auto"/>
              </w:rPr>
            </w:pPr>
            <w:r>
              <w:rPr>
                <w:rFonts w:ascii="Arial" w:cs="Arial" w:eastAsia="Arial" w:hAnsi="Arial"/>
                <w:sz w:val="18"/>
                <w:szCs w:val="18"/>
                <w:color w:val="0000FF"/>
                <w:w w:val="88"/>
              </w:rPr>
              <w:t>Consolidated Statements of Comprehensive Income</w:t>
            </w: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40" w:type="dxa"/>
            <w:vAlign w:val="bottom"/>
            <w:tcBorders>
              <w:bottom w:val="single" w:sz="8" w:color="0000FF"/>
            </w:tcBorders>
            <w:gridSpan w:val="15"/>
            <w:vMerge w:val="continue"/>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20" w:type="dxa"/>
            <w:vAlign w:val="bottom"/>
            <w:gridSpan w:val="2"/>
          </w:tcPr>
          <w:p>
            <w:pPr>
              <w:jc w:val="center"/>
              <w:ind w:left="177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gridSpan w:val="13"/>
            <w:vMerge w:val="restart"/>
          </w:tcPr>
          <w:p>
            <w:pPr>
              <w:ind w:left="20"/>
              <w:spacing w:after="0"/>
              <w:rPr>
                <w:sz w:val="20"/>
                <w:szCs w:val="20"/>
                <w:color w:val="auto"/>
              </w:rPr>
            </w:pPr>
            <w:r>
              <w:rPr>
                <w:rFonts w:ascii="Arial" w:cs="Arial" w:eastAsia="Arial" w:hAnsi="Arial"/>
                <w:sz w:val="18"/>
                <w:szCs w:val="18"/>
                <w:color w:val="0000FF"/>
                <w:w w:val="90"/>
              </w:rPr>
              <w:t>Consolidated Statements of Stockholders’ Equity</w:t>
            </w: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Borders>
              <w:bottom w:val="single" w:sz="8" w:color="0000FF"/>
            </w:tcBorders>
            <w:gridSpan w:val="13"/>
            <w:vMerge w:val="continue"/>
          </w:tcPr>
          <w:p>
            <w:pPr>
              <w:spacing w:after="0"/>
              <w:rPr>
                <w:sz w:val="18"/>
                <w:szCs w:val="18"/>
                <w:color w:val="auto"/>
              </w:rPr>
            </w:pPr>
          </w:p>
        </w:tc>
        <w:tc>
          <w:tcPr>
            <w:tcW w:w="11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20" w:type="dxa"/>
            <w:vAlign w:val="bottom"/>
            <w:gridSpan w:val="2"/>
          </w:tcPr>
          <w:p>
            <w:pPr>
              <w:jc w:val="center"/>
              <w:ind w:left="1770"/>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gridSpan w:val="11"/>
            <w:vMerge w:val="restart"/>
          </w:tcPr>
          <w:p>
            <w:pPr>
              <w:ind w:left="20"/>
              <w:spacing w:after="0"/>
              <w:rPr>
                <w:sz w:val="20"/>
                <w:szCs w:val="20"/>
                <w:color w:val="auto"/>
              </w:rPr>
            </w:pPr>
            <w:r>
              <w:rPr>
                <w:rFonts w:ascii="Arial" w:cs="Arial" w:eastAsia="Arial" w:hAnsi="Arial"/>
                <w:sz w:val="18"/>
                <w:szCs w:val="18"/>
                <w:color w:val="0000FF"/>
                <w:w w:val="88"/>
              </w:rPr>
              <w:t>Consolidated Statements of Cash Flows</w:t>
            </w:r>
          </w:p>
        </w:tc>
        <w:tc>
          <w:tcPr>
            <w:tcW w:w="28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tcBorders>
              <w:bottom w:val="single" w:sz="8" w:color="0000FF"/>
            </w:tcBorders>
            <w:gridSpan w:val="11"/>
            <w:vMerge w:val="continue"/>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20" w:type="dxa"/>
            <w:vAlign w:val="bottom"/>
            <w:gridSpan w:val="2"/>
          </w:tcPr>
          <w:p>
            <w:pPr>
              <w:jc w:val="center"/>
              <w:ind w:left="1770"/>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12"/>
            <w:vMerge w:val="restart"/>
          </w:tcPr>
          <w:p>
            <w:pPr>
              <w:ind w:left="20"/>
              <w:spacing w:after="0"/>
              <w:rPr>
                <w:sz w:val="20"/>
                <w:szCs w:val="20"/>
                <w:color w:val="auto"/>
              </w:rPr>
            </w:pPr>
            <w:r>
              <w:rPr>
                <w:rFonts w:ascii="Arial" w:cs="Arial" w:eastAsia="Arial" w:hAnsi="Arial"/>
                <w:sz w:val="18"/>
                <w:szCs w:val="18"/>
                <w:color w:val="0000FF"/>
                <w:w w:val="89"/>
              </w:rPr>
              <w:t>Notes to Consolidated Financial Statements</w:t>
            </w:r>
          </w:p>
        </w:tc>
        <w:tc>
          <w:tcPr>
            <w:tcW w:w="1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FF"/>
            </w:tcBorders>
            <w:gridSpan w:val="12"/>
            <w:vMerge w:val="continue"/>
          </w:tcPr>
          <w:p>
            <w:pPr>
              <w:spacing w:after="0"/>
              <w:rPr>
                <w:sz w:val="18"/>
                <w:szCs w:val="18"/>
                <w:color w:val="auto"/>
              </w:rPr>
            </w:pPr>
          </w:p>
        </w:tc>
        <w:tc>
          <w:tcPr>
            <w:tcW w:w="158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120" w:type="dxa"/>
            <w:vAlign w:val="bottom"/>
            <w:gridSpan w:val="3"/>
          </w:tcPr>
          <w:p>
            <w:pPr>
              <w:jc w:val="center"/>
              <w:ind w:left="1650"/>
              <w:spacing w:after="0"/>
              <w:rPr>
                <w:sz w:val="20"/>
                <w:szCs w:val="20"/>
                <w:color w:val="auto"/>
              </w:rPr>
            </w:pPr>
            <w:r>
              <w:rPr>
                <w:rFonts w:ascii="Arial" w:cs="Arial" w:eastAsia="Arial" w:hAnsi="Arial"/>
                <w:sz w:val="18"/>
                <w:szCs w:val="18"/>
                <w:color w:val="0000FF"/>
                <w:w w:val="89"/>
              </w:rPr>
              <w:t>10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gridSpan w:val="20"/>
            <w:vMerge w:val="restart"/>
          </w:tcPr>
          <w:p>
            <w:pPr>
              <w:spacing w:after="0"/>
              <w:rPr>
                <w:sz w:val="20"/>
                <w:szCs w:val="20"/>
                <w:color w:val="auto"/>
              </w:rPr>
            </w:pPr>
            <w:r>
              <w:rPr>
                <w:rFonts w:ascii="Arial" w:cs="Arial" w:eastAsia="Arial" w:hAnsi="Arial"/>
                <w:sz w:val="18"/>
                <w:szCs w:val="18"/>
                <w:color w:val="0000FF"/>
                <w:w w:val="91"/>
              </w:rPr>
              <w:t>Item 2. Management’s Discussion and Analysis of Financial Condition and Results of Operations</w:t>
            </w: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7020" w:type="dxa"/>
            <w:vAlign w:val="bottom"/>
            <w:tcBorders>
              <w:bottom w:val="single" w:sz="8" w:color="0000FF"/>
            </w:tcBorders>
            <w:gridSpan w:val="20"/>
            <w:vMerge w:val="continue"/>
          </w:tcPr>
          <w:p>
            <w:pPr>
              <w:spacing w:after="0"/>
              <w:rPr>
                <w:sz w:val="18"/>
                <w:szCs w:val="18"/>
                <w:color w:val="auto"/>
              </w:rPr>
            </w:pPr>
          </w:p>
        </w:tc>
        <w:tc>
          <w:tcPr>
            <w:tcW w:w="1740" w:type="dxa"/>
            <w:vAlign w:val="bottom"/>
          </w:tcPr>
          <w:p>
            <w:pPr>
              <w:spacing w:after="0"/>
              <w:rPr>
                <w:sz w:val="18"/>
                <w:szCs w:val="18"/>
                <w:color w:val="auto"/>
              </w:rPr>
            </w:pPr>
          </w:p>
        </w:tc>
        <w:tc>
          <w:tcPr>
            <w:tcW w:w="2120" w:type="dxa"/>
            <w:vAlign w:val="bottom"/>
            <w:gridSpan w:val="3"/>
          </w:tcPr>
          <w:p>
            <w:pPr>
              <w:jc w:val="center"/>
              <w:ind w:left="1650"/>
              <w:spacing w:after="0"/>
              <w:rPr>
                <w:sz w:val="20"/>
                <w:szCs w:val="20"/>
                <w:color w:val="auto"/>
              </w:rPr>
            </w:pPr>
            <w:r>
              <w:rPr>
                <w:rFonts w:ascii="Arial" w:cs="Arial" w:eastAsia="Arial" w:hAnsi="Arial"/>
                <w:sz w:val="18"/>
                <w:szCs w:val="18"/>
                <w:color w:val="0000FF"/>
                <w:w w:val="89"/>
              </w:rPr>
              <w:t>30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20" w:type="dxa"/>
            <w:vAlign w:val="bottom"/>
            <w:gridSpan w:val="19"/>
            <w:vMerge w:val="restart"/>
          </w:tcPr>
          <w:p>
            <w:pPr>
              <w:spacing w:after="0"/>
              <w:rPr>
                <w:sz w:val="20"/>
                <w:szCs w:val="20"/>
                <w:color w:val="auto"/>
              </w:rPr>
            </w:pPr>
            <w:r>
              <w:rPr>
                <w:rFonts w:ascii="Arial" w:cs="Arial" w:eastAsia="Arial" w:hAnsi="Arial"/>
                <w:sz w:val="18"/>
                <w:szCs w:val="18"/>
                <w:color w:val="0000FF"/>
                <w:w w:val="92"/>
              </w:rPr>
              <w:t>Item 3. Quantitative and Qualitative Disclosures About Market Risk</w:t>
            </w:r>
          </w:p>
        </w:tc>
        <w:tc>
          <w:tcPr>
            <w:tcW w:w="38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20" w:type="dxa"/>
            <w:vAlign w:val="bottom"/>
            <w:tcBorders>
              <w:bottom w:val="single" w:sz="8" w:color="0000FF"/>
            </w:tcBorders>
            <w:gridSpan w:val="19"/>
            <w:vMerge w:val="continue"/>
          </w:tcPr>
          <w:p>
            <w:pPr>
              <w:spacing w:after="0"/>
              <w:rPr>
                <w:sz w:val="18"/>
                <w:szCs w:val="18"/>
                <w:color w:val="auto"/>
              </w:rPr>
            </w:pPr>
          </w:p>
        </w:tc>
        <w:tc>
          <w:tcPr>
            <w:tcW w:w="3840" w:type="dxa"/>
            <w:vAlign w:val="bottom"/>
            <w:gridSpan w:val="2"/>
          </w:tcPr>
          <w:p>
            <w:pPr>
              <w:spacing w:after="0"/>
              <w:rPr>
                <w:sz w:val="18"/>
                <w:szCs w:val="18"/>
                <w:color w:val="auto"/>
              </w:rPr>
            </w:pPr>
          </w:p>
        </w:tc>
        <w:tc>
          <w:tcPr>
            <w:tcW w:w="2120" w:type="dxa"/>
            <w:vAlign w:val="bottom"/>
            <w:gridSpan w:val="3"/>
          </w:tcPr>
          <w:p>
            <w:pPr>
              <w:jc w:val="center"/>
              <w:ind w:left="1650"/>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Arial" w:cs="Arial" w:eastAsia="Arial" w:hAnsi="Arial"/>
                <w:sz w:val="18"/>
                <w:szCs w:val="18"/>
                <w:color w:val="0000FF"/>
                <w:w w:val="94"/>
              </w:rPr>
              <w:t>Item 4.</w:t>
            </w:r>
          </w:p>
        </w:tc>
        <w:tc>
          <w:tcPr>
            <w:tcW w:w="1800" w:type="dxa"/>
            <w:vAlign w:val="bottom"/>
            <w:gridSpan w:val="6"/>
            <w:vMerge w:val="restart"/>
          </w:tcPr>
          <w:p>
            <w:pPr>
              <w:ind w:left="20"/>
              <w:spacing w:after="0"/>
              <w:rPr>
                <w:sz w:val="20"/>
                <w:szCs w:val="20"/>
                <w:color w:val="auto"/>
              </w:rPr>
            </w:pPr>
            <w:r>
              <w:rPr>
                <w:rFonts w:ascii="Arial" w:cs="Arial" w:eastAsia="Arial" w:hAnsi="Arial"/>
                <w:sz w:val="18"/>
                <w:szCs w:val="18"/>
                <w:color w:val="0000FF"/>
                <w:w w:val="88"/>
              </w:rPr>
              <w:t>Controls and Procedures</w:t>
            </w:r>
          </w:p>
        </w:tc>
        <w:tc>
          <w:tcPr>
            <w:tcW w:w="80" w:type="dxa"/>
            <w:vAlign w:val="bottom"/>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1800" w:type="dxa"/>
            <w:vAlign w:val="bottom"/>
            <w:tcBorders>
              <w:bottom w:val="single" w:sz="8" w:color="0000FF"/>
            </w:tcBorders>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9"/>
          </w:tcPr>
          <w:p>
            <w:pPr>
              <w:spacing w:after="0"/>
              <w:rPr>
                <w:sz w:val="18"/>
                <w:szCs w:val="18"/>
                <w:color w:val="auto"/>
              </w:rPr>
            </w:pPr>
          </w:p>
        </w:tc>
        <w:tc>
          <w:tcPr>
            <w:tcW w:w="3860" w:type="dxa"/>
            <w:vAlign w:val="bottom"/>
            <w:gridSpan w:val="3"/>
          </w:tcPr>
          <w:p>
            <w:pPr>
              <w:spacing w:after="0"/>
              <w:rPr>
                <w:sz w:val="18"/>
                <w:szCs w:val="18"/>
                <w:color w:val="auto"/>
              </w:rPr>
            </w:pPr>
          </w:p>
        </w:tc>
        <w:tc>
          <w:tcPr>
            <w:tcW w:w="2120" w:type="dxa"/>
            <w:vAlign w:val="bottom"/>
            <w:gridSpan w:val="3"/>
          </w:tcPr>
          <w:p>
            <w:pPr>
              <w:jc w:val="center"/>
              <w:ind w:left="1650"/>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
        </w:trPr>
        <w:tc>
          <w:tcPr>
            <w:tcW w:w="2580" w:type="dxa"/>
            <w:vAlign w:val="bottom"/>
            <w:gridSpan w:val="10"/>
            <w:vMerge w:val="restart"/>
          </w:tcPr>
          <w:p>
            <w:pPr>
              <w:spacing w:after="0"/>
              <w:rPr>
                <w:sz w:val="20"/>
                <w:szCs w:val="20"/>
                <w:color w:val="auto"/>
              </w:rPr>
            </w:pPr>
            <w:r>
              <w:rPr>
                <w:rFonts w:ascii="Arial" w:cs="Arial" w:eastAsia="Arial" w:hAnsi="Arial"/>
                <w:sz w:val="18"/>
                <w:szCs w:val="18"/>
                <w:color w:val="0000FF"/>
                <w:w w:val="95"/>
              </w:rPr>
              <w:t>PART II. OTHER INFORMATION</w:t>
            </w:r>
          </w:p>
        </w:tc>
        <w:tc>
          <w:tcPr>
            <w:tcW w:w="6340" w:type="dxa"/>
            <w:vAlign w:val="bottom"/>
            <w:gridSpan w:val="12"/>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580" w:type="dxa"/>
            <w:vAlign w:val="bottom"/>
            <w:tcBorders>
              <w:bottom w:val="single" w:sz="8" w:color="0000FF"/>
            </w:tcBorders>
            <w:gridSpan w:val="10"/>
            <w:vMerge w:val="continue"/>
          </w:tcPr>
          <w:p>
            <w:pPr>
              <w:spacing w:after="0"/>
              <w:rPr>
                <w:sz w:val="24"/>
                <w:szCs w:val="24"/>
                <w:color w:val="auto"/>
              </w:rPr>
            </w:pPr>
          </w:p>
        </w:tc>
        <w:tc>
          <w:tcPr>
            <w:tcW w:w="6340" w:type="dxa"/>
            <w:vAlign w:val="bottom"/>
            <w:gridSpan w:val="12"/>
            <w:vMerge w:val="continue"/>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Item 1.</w:t>
            </w:r>
          </w:p>
        </w:tc>
        <w:tc>
          <w:tcPr>
            <w:tcW w:w="136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88"/>
              </w:rPr>
              <w:t>Legal Proceedings</w:t>
            </w:r>
          </w:p>
        </w:tc>
        <w:tc>
          <w:tcPr>
            <w:tcW w:w="3000" w:type="dxa"/>
            <w:vAlign w:val="bottom"/>
            <w:gridSpan w:val="12"/>
          </w:tcPr>
          <w:p>
            <w:pPr>
              <w:spacing w:after="0"/>
              <w:rPr>
                <w:sz w:val="19"/>
                <w:szCs w:val="19"/>
                <w:color w:val="auto"/>
              </w:rPr>
            </w:pPr>
          </w:p>
        </w:tc>
        <w:tc>
          <w:tcPr>
            <w:tcW w:w="3860" w:type="dxa"/>
            <w:vAlign w:val="bottom"/>
            <w:gridSpan w:val="3"/>
          </w:tcPr>
          <w:p>
            <w:pPr>
              <w:spacing w:after="0"/>
              <w:rPr>
                <w:sz w:val="19"/>
                <w:szCs w:val="19"/>
                <w:color w:val="auto"/>
              </w:rPr>
            </w:pPr>
          </w:p>
        </w:tc>
        <w:tc>
          <w:tcPr>
            <w:tcW w:w="2120" w:type="dxa"/>
            <w:vAlign w:val="bottom"/>
            <w:gridSpan w:val="3"/>
          </w:tcPr>
          <w:p>
            <w:pPr>
              <w:jc w:val="center"/>
              <w:ind w:left="165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gridSpan w:val="5"/>
            <w:vMerge w:val="restart"/>
          </w:tcPr>
          <w:p>
            <w:pPr>
              <w:spacing w:after="0"/>
              <w:rPr>
                <w:sz w:val="20"/>
                <w:szCs w:val="20"/>
                <w:color w:val="auto"/>
              </w:rPr>
            </w:pPr>
            <w:r>
              <w:rPr>
                <w:rFonts w:ascii="Arial" w:cs="Arial" w:eastAsia="Arial" w:hAnsi="Arial"/>
                <w:sz w:val="18"/>
                <w:szCs w:val="18"/>
                <w:color w:val="0000FF"/>
                <w:w w:val="91"/>
              </w:rPr>
              <w:t>Item 1A. Risk Factors</w:t>
            </w:r>
          </w:p>
        </w:tc>
        <w:tc>
          <w:tcPr>
            <w:tcW w:w="3300" w:type="dxa"/>
            <w:vAlign w:val="bottom"/>
            <w:gridSpan w:val="13"/>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0" w:type="dxa"/>
            <w:vAlign w:val="bottom"/>
            <w:tcBorders>
              <w:bottom w:val="single" w:sz="8" w:color="0000FF"/>
            </w:tcBorders>
            <w:gridSpan w:val="5"/>
            <w:vMerge w:val="continue"/>
          </w:tcPr>
          <w:p>
            <w:pPr>
              <w:spacing w:after="0"/>
              <w:rPr>
                <w:sz w:val="18"/>
                <w:szCs w:val="18"/>
                <w:color w:val="auto"/>
              </w:rPr>
            </w:pPr>
          </w:p>
        </w:tc>
        <w:tc>
          <w:tcPr>
            <w:tcW w:w="3300" w:type="dxa"/>
            <w:vAlign w:val="bottom"/>
            <w:gridSpan w:val="13"/>
          </w:tcPr>
          <w:p>
            <w:pPr>
              <w:spacing w:after="0"/>
              <w:rPr>
                <w:sz w:val="18"/>
                <w:szCs w:val="18"/>
                <w:color w:val="auto"/>
              </w:rPr>
            </w:pPr>
          </w:p>
        </w:tc>
        <w:tc>
          <w:tcPr>
            <w:tcW w:w="3860" w:type="dxa"/>
            <w:vAlign w:val="bottom"/>
            <w:gridSpan w:val="3"/>
          </w:tcPr>
          <w:p>
            <w:pPr>
              <w:spacing w:after="0"/>
              <w:rPr>
                <w:sz w:val="18"/>
                <w:szCs w:val="18"/>
                <w:color w:val="auto"/>
              </w:rPr>
            </w:pPr>
          </w:p>
        </w:tc>
        <w:tc>
          <w:tcPr>
            <w:tcW w:w="2120" w:type="dxa"/>
            <w:vAlign w:val="bottom"/>
            <w:gridSpan w:val="3"/>
          </w:tcPr>
          <w:p>
            <w:pPr>
              <w:jc w:val="center"/>
              <w:ind w:left="165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Arial" w:cs="Arial" w:eastAsia="Arial" w:hAnsi="Arial"/>
                <w:sz w:val="18"/>
                <w:szCs w:val="18"/>
                <w:color w:val="0000FF"/>
                <w:w w:val="94"/>
              </w:rPr>
              <w:t>Item 2.</w:t>
            </w:r>
          </w:p>
        </w:tc>
        <w:tc>
          <w:tcPr>
            <w:tcW w:w="4360" w:type="dxa"/>
            <w:vAlign w:val="bottom"/>
            <w:gridSpan w:val="16"/>
            <w:vMerge w:val="restart"/>
          </w:tcPr>
          <w:p>
            <w:pPr>
              <w:ind w:left="20"/>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38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4360" w:type="dxa"/>
            <w:vAlign w:val="bottom"/>
            <w:tcBorders>
              <w:bottom w:val="single" w:sz="8" w:color="0000FF"/>
            </w:tcBorders>
            <w:gridSpan w:val="16"/>
            <w:vMerge w:val="continue"/>
          </w:tcPr>
          <w:p>
            <w:pPr>
              <w:spacing w:after="0"/>
              <w:rPr>
                <w:sz w:val="18"/>
                <w:szCs w:val="18"/>
                <w:color w:val="auto"/>
              </w:rPr>
            </w:pPr>
          </w:p>
        </w:tc>
        <w:tc>
          <w:tcPr>
            <w:tcW w:w="3860" w:type="dxa"/>
            <w:vAlign w:val="bottom"/>
            <w:gridSpan w:val="3"/>
          </w:tcPr>
          <w:p>
            <w:pPr>
              <w:spacing w:after="0"/>
              <w:rPr>
                <w:sz w:val="18"/>
                <w:szCs w:val="18"/>
                <w:color w:val="auto"/>
              </w:rPr>
            </w:pPr>
          </w:p>
        </w:tc>
        <w:tc>
          <w:tcPr>
            <w:tcW w:w="2120" w:type="dxa"/>
            <w:vAlign w:val="bottom"/>
            <w:gridSpan w:val="3"/>
          </w:tcPr>
          <w:p>
            <w:pPr>
              <w:jc w:val="center"/>
              <w:ind w:left="165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Arial" w:cs="Arial" w:eastAsia="Arial" w:hAnsi="Arial"/>
                <w:sz w:val="18"/>
                <w:szCs w:val="18"/>
                <w:color w:val="0000FF"/>
                <w:w w:val="94"/>
              </w:rPr>
              <w:t>Item 6.</w:t>
            </w:r>
          </w:p>
        </w:tc>
        <w:tc>
          <w:tcPr>
            <w:tcW w:w="62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Exhibits</w:t>
            </w:r>
          </w:p>
        </w:tc>
        <w:tc>
          <w:tcPr>
            <w:tcW w:w="7600" w:type="dxa"/>
            <w:vAlign w:val="bottom"/>
            <w:gridSpan w:val="17"/>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620" w:type="dxa"/>
            <w:vAlign w:val="bottom"/>
            <w:tcBorders>
              <w:bottom w:val="single" w:sz="8" w:color="0000FF"/>
            </w:tcBorders>
            <w:gridSpan w:val="2"/>
            <w:vMerge w:val="continue"/>
          </w:tcPr>
          <w:p>
            <w:pPr>
              <w:spacing w:after="0"/>
              <w:rPr>
                <w:sz w:val="18"/>
                <w:szCs w:val="18"/>
                <w:color w:val="auto"/>
              </w:rPr>
            </w:pPr>
          </w:p>
        </w:tc>
        <w:tc>
          <w:tcPr>
            <w:tcW w:w="7600" w:type="dxa"/>
            <w:vAlign w:val="bottom"/>
            <w:gridSpan w:val="17"/>
          </w:tcPr>
          <w:p>
            <w:pPr>
              <w:spacing w:after="0"/>
              <w:rPr>
                <w:sz w:val="18"/>
                <w:szCs w:val="18"/>
                <w:color w:val="auto"/>
              </w:rPr>
            </w:pPr>
          </w:p>
        </w:tc>
        <w:tc>
          <w:tcPr>
            <w:tcW w:w="2120" w:type="dxa"/>
            <w:vAlign w:val="bottom"/>
            <w:gridSpan w:val="3"/>
          </w:tcPr>
          <w:p>
            <w:pPr>
              <w:jc w:val="center"/>
              <w:ind w:left="165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7920" w:type="dxa"/>
            <w:vAlign w:val="bottom"/>
            <w:gridSpan w:val="18"/>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920" w:type="dxa"/>
            <w:vAlign w:val="bottom"/>
            <w:gridSpan w:val="22"/>
          </w:tcPr>
          <w:p>
            <w:pPr>
              <w:spacing w:after="0"/>
              <w:rPr>
                <w:sz w:val="20"/>
                <w:szCs w:val="20"/>
                <w:color w:val="auto"/>
              </w:rPr>
            </w:pPr>
            <w:r>
              <w:rPr>
                <w:rFonts w:ascii="Arial" w:cs="Arial" w:eastAsia="Arial" w:hAnsi="Arial"/>
                <w:sz w:val="18"/>
                <w:szCs w:val="18"/>
                <w:color w:val="0000FF"/>
              </w:rPr>
              <w:t>SIGNATURE</w:t>
            </w:r>
          </w:p>
        </w:tc>
        <w:tc>
          <w:tcPr>
            <w:tcW w:w="2120" w:type="dxa"/>
            <w:vAlign w:val="bottom"/>
            <w:gridSpan w:val="3"/>
          </w:tcPr>
          <w:p>
            <w:pPr>
              <w:jc w:val="center"/>
              <w:ind w:left="1650"/>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sectPr>
      </w:pPr>
    </w:p>
    <w:bookmarkStart w:id="2" w:name="page3"/>
    <w:bookmarkEnd w:id="2"/>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All statements contained in this report other than statements of historical facts, including statements regarding our future results of operations and financial position, our business strategy, and plans and our objectives for future operations, are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 words “believe,” “may,” “will,” “could,” “would,” “seeks,” “estimate,” “continue,” “anticipate,” “intend,” “expect,” and similar expressions, as well as statements regarding our focus for the future,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have based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largely on our current expectations, projections, and assumptions about future events and financial trends that we believe may affect our financial condition, results of operations, business strategy, short</w:t>
      </w:r>
      <w:r>
        <w:rPr>
          <w:rFonts w:ascii="MS PGothic" w:cs="MS PGothic" w:eastAsia="MS PGothic" w:hAnsi="MS PGothic"/>
          <w:sz w:val="17"/>
          <w:szCs w:val="17"/>
          <w:color w:val="auto"/>
        </w:rPr>
        <w:t>‑</w:t>
      </w:r>
      <w:r>
        <w:rPr>
          <w:rFonts w:ascii="Arial" w:cs="Arial" w:eastAsia="Arial" w:hAnsi="Arial"/>
          <w:sz w:val="17"/>
          <w:szCs w:val="17"/>
          <w:color w:val="auto"/>
        </w:rPr>
        <w:t>term and long</w:t>
      </w:r>
      <w:r>
        <w:rPr>
          <w:rFonts w:ascii="MS PGothic" w:cs="MS PGothic" w:eastAsia="MS PGothic" w:hAnsi="MS PGothic"/>
          <w:sz w:val="17"/>
          <w:szCs w:val="17"/>
          <w:color w:val="auto"/>
        </w:rPr>
        <w:t>‑</w:t>
      </w:r>
      <w:r>
        <w:rPr>
          <w:rFonts w:ascii="Arial" w:cs="Arial" w:eastAsia="Arial" w:hAnsi="Arial"/>
          <w:sz w:val="17"/>
          <w:szCs w:val="17"/>
          <w:color w:val="auto"/>
        </w:rPr>
        <w:t>term business operations and objectives, and financial needs.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we may make. In light of these risks, uncertainties, and assumptions, the future events and trends discussed in this report may not occur and actual results could differ materially and adversely from those anticipated or implied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well as our report as a whole, are subject to risks and uncertainties.</w:t>
      </w:r>
    </w:p>
    <w:p>
      <w:pPr>
        <w:spacing w:after="0" w:line="20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discuss many of these risks in this report in greater detail in the section titled “Risk Factors” and elsewhere in this report. You should not rely upon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as predictions of future events.</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Although we believe that the expectations reflected in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we cannot guarantee future results, levels of activity, performance, achievements, events, or circumstances reflected in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occur. Except as required by law, we undertake no obligation to update any of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after the date of this report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BENTLEY SYSTEMS,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7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7560" w:type="dxa"/>
            <w:vAlign w:val="bottom"/>
            <w:shd w:val="clear" w:color="auto" w:fill="CCEEFF"/>
          </w:tcPr>
          <w:p>
            <w:pPr>
              <w:ind w:left="350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93,567</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71,684</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285,192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296,376</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Allowance for doubtful accounts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(8,036)</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Prepaid income taxes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21,169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18,406</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Prepaid and other 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39,849</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38,732</w:t>
            </w:r>
          </w:p>
        </w:tc>
      </w:tr>
      <w:tr>
        <w:trPr>
          <w:trHeight w:val="213"/>
        </w:trPr>
        <w:tc>
          <w:tcPr>
            <w:tcW w:w="756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431,741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415,895</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33,038</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32,251</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38,946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40,249</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283,969</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292,271</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2,247,797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2,237,184</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32,010</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22,270</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52,484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52,636</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68,037</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72,249</w:t>
            </w:r>
          </w:p>
        </w:tc>
      </w:tr>
      <w:tr>
        <w:trPr>
          <w:trHeight w:val="207"/>
        </w:trPr>
        <w:tc>
          <w:tcPr>
            <w:tcW w:w="756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3,188,022</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3,165,005</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6"/>
        </w:trPr>
        <w:tc>
          <w:tcPr>
            <w:tcW w:w="7560" w:type="dxa"/>
            <w:vAlign w:val="bottom"/>
            <w:shd w:val="clear" w:color="auto" w:fill="CCEEFF"/>
          </w:tcPr>
          <w:p>
            <w:pPr>
              <w:ind w:left="246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28,781</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15,176</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Accruals and other current liabilities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420,935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362,048</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234,775</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226,955</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14,147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14,672</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4,507</w:t>
            </w:r>
          </w:p>
        </w:tc>
      </w:tr>
      <w:tr>
        <w:trPr>
          <w:trHeight w:val="237"/>
        </w:trPr>
        <w:tc>
          <w:tcPr>
            <w:tcW w:w="75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6,250</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719,750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628,358</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1,668,781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1,775,696</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plan liabilities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80,674</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77,014</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26,651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27,670</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16,118</w:t>
            </w:r>
          </w:p>
        </w:tc>
      </w:tr>
      <w:tr>
        <w:trPr>
          <w:trHeight w:val="233"/>
        </w:trPr>
        <w:tc>
          <w:tcPr>
            <w:tcW w:w="75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46,564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51,235</w:t>
            </w: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8,127</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8,105</w:t>
            </w:r>
          </w:p>
        </w:tc>
      </w:tr>
      <w:tr>
        <w:trPr>
          <w:trHeight w:val="236"/>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7,313</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7,355</w:t>
            </w:r>
          </w:p>
        </w:tc>
      </w:tr>
      <w:tr>
        <w:trPr>
          <w:trHeight w:val="230"/>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2,573,832</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2,591,551</w:t>
            </w: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Commitments and contingencies (Note 18)</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3"/>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20"/>
        </w:trPr>
        <w:tc>
          <w:tcPr>
            <w:tcW w:w="7560" w:type="dxa"/>
            <w:vAlign w:val="bottom"/>
          </w:tcPr>
          <w:p>
            <w:pPr>
              <w:ind w:left="180"/>
              <w:spacing w:after="0"/>
              <w:rPr>
                <w:sz w:val="20"/>
                <w:szCs w:val="20"/>
                <w:color w:val="auto"/>
              </w:rPr>
            </w:pPr>
            <w:r>
              <w:rPr>
                <w:rFonts w:ascii="Arial" w:cs="Arial" w:eastAsia="Arial" w:hAnsi="Arial"/>
                <w:sz w:val="16"/>
                <w:szCs w:val="16"/>
                <w:color w:val="auto"/>
                <w:w w:val="95"/>
              </w:rPr>
              <w:t>Preferred stock, $0.01 par value, authorized 100,000,000 shares; none issued or outstanding as of March 31,</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7560" w:type="dxa"/>
            <w:vAlign w:val="bottom"/>
          </w:tcPr>
          <w:p>
            <w:pPr>
              <w:ind w:left="360"/>
              <w:spacing w:after="0"/>
              <w:rPr>
                <w:sz w:val="20"/>
                <w:szCs w:val="20"/>
                <w:color w:val="auto"/>
              </w:rPr>
            </w:pPr>
            <w:r>
              <w:rPr>
                <w:rFonts w:ascii="Arial" w:cs="Arial" w:eastAsia="Arial" w:hAnsi="Arial"/>
                <w:sz w:val="16"/>
                <w:szCs w:val="16"/>
                <w:color w:val="auto"/>
              </w:rPr>
              <w:t>2023 and December 31, 2022</w:t>
            </w:r>
          </w:p>
        </w:tc>
        <w:tc>
          <w:tcPr>
            <w:tcW w:w="24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Common Stock, $0.01 par value, authorized 100,000,000 shares; issued and outstanding</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189"/>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5"/>
              </w:rPr>
              <w:t>11,601,757 shares as of March 31, 2023 and December 31, 2022, and Class B Common Stock, $0.01 par</w:t>
            </w:r>
          </w:p>
        </w:tc>
        <w:tc>
          <w:tcPr>
            <w:tcW w:w="2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03"/>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3"/>
              </w:rPr>
              <w:t>value, authorized 1,800,000,000 shares; issued and outstanding 279,899,514 and 277,412,730 shares as of</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6"/>
        </w:trPr>
        <w:tc>
          <w:tcPr>
            <w:tcW w:w="7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March 31, 2023 and December 31, 2022, respectively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1,060,842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1,030,466</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(89,374)</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(89,740)</w:t>
            </w:r>
          </w:p>
        </w:tc>
      </w:tr>
      <w:tr>
        <w:trPr>
          <w:trHeight w:val="233"/>
        </w:trPr>
        <w:tc>
          <w:tcPr>
            <w:tcW w:w="756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(360,897)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(370,866)</w:t>
            </w:r>
          </w:p>
        </w:tc>
      </w:tr>
      <w:tr>
        <w:trPr>
          <w:trHeight w:val="253"/>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2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w:t>
            </w:r>
          </w:p>
        </w:tc>
      </w:tr>
      <w:tr>
        <w:trPr>
          <w:trHeight w:val="216"/>
        </w:trPr>
        <w:tc>
          <w:tcPr>
            <w:tcW w:w="75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614,190</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573,454</w:t>
            </w:r>
          </w:p>
        </w:tc>
      </w:tr>
      <w:tr>
        <w:trPr>
          <w:trHeight w:val="238"/>
        </w:trPr>
        <w:tc>
          <w:tcPr>
            <w:tcW w:w="7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3,188,022</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3,165,005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823" w:right="339" w:bottom="1081"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081" w:gutter="0" w:footer="0" w:header="0"/>
          <w:type w:val="continuous"/>
        </w:sectPr>
      </w:pPr>
    </w:p>
    <w:bookmarkStart w:id="4" w:name="page5"/>
    <w:bookmarkEnd w:id="4"/>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BENTLEY SYSTEMS, INCORPORATED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p>
      <w:pPr>
        <w:jc w:val="center"/>
        <w:ind w:left="794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79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20320</wp:posOffset>
            </wp:positionV>
            <wp:extent cx="2057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6" w:lineRule="exact"/>
        <w:rPr>
          <w:sz w:val="20"/>
          <w:szCs w:val="20"/>
          <w:color w:val="auto"/>
        </w:rPr>
      </w:pPr>
    </w:p>
    <w:p>
      <w:pPr>
        <w:jc w:val="both"/>
        <w:ind w:left="8520"/>
        <w:spacing w:after="0"/>
        <w:tabs>
          <w:tab w:leader="none" w:pos="1024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ectPr>
          <w:pgSz w:w="11900" w:h="16838" w:orient="portrait"/>
          <w:cols w:equalWidth="0" w:num="1">
            <w:col w:w="11180"/>
          </w:cols>
          <w:pgMar w:left="360" w:top="1440" w:right="35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Subscriptions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Perpetual licenses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Subscriptions and licenses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Services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Cost of subscriptions and licenses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Cost of services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277,845</w:t>
            </w:r>
          </w:p>
        </w:tc>
        <w:tc>
          <w:tcPr>
            <w:tcW w:w="24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241,233</w:t>
            </w:r>
          </w:p>
        </w:tc>
      </w:tr>
      <w:tr>
        <w:trPr>
          <w:trHeight w:val="270"/>
        </w:trPr>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24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r>
      <w:tr>
        <w:trPr>
          <w:trHeight w:val="250"/>
        </w:trPr>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287,392</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251,438</w:t>
            </w:r>
          </w:p>
        </w:tc>
      </w:tr>
      <w:tr>
        <w:trPr>
          <w:trHeight w:val="270"/>
        </w:trPr>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27,019</w:t>
            </w:r>
          </w:p>
        </w:tc>
        <w:tc>
          <w:tcPr>
            <w:tcW w:w="24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24,079</w:t>
            </w:r>
          </w:p>
        </w:tc>
      </w:tr>
      <w:tr>
        <w:trPr>
          <w:trHeight w:val="250"/>
        </w:trPr>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314,411</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275,517</w:t>
            </w:r>
          </w:p>
        </w:tc>
      </w:tr>
      <w:tr>
        <w:trPr>
          <w:trHeight w:val="479"/>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40,931</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33,727</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26,253</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-5044440</wp:posOffset>
            </wp:positionH>
            <wp:positionV relativeFrom="paragraph">
              <wp:posOffset>-1173480</wp:posOffset>
            </wp:positionV>
            <wp:extent cx="71062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-830580</wp:posOffset>
            </wp:positionV>
            <wp:extent cx="710628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-487680</wp:posOffset>
            </wp:positionV>
            <wp:extent cx="7106285"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-170815</wp:posOffset>
            </wp:positionV>
            <wp:extent cx="710628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-1490980</wp:posOffset>
            </wp:positionV>
            <wp:extent cx="710628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20" w:space="720"/>
            <w:col w:w="3240"/>
          </w:cols>
          <w:pgMar w:left="36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67,184</w:t>
            </w: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55,785</w:t>
            </w:r>
          </w:p>
        </w:tc>
        <w:tc>
          <w:tcPr>
            <w:tcW w:w="0" w:type="dxa"/>
            <w:vAlign w:val="bottom"/>
          </w:tcPr>
          <w:p>
            <w:pPr>
              <w:spacing w:after="0"/>
              <w:rPr>
                <w:sz w:val="1"/>
                <w:szCs w:val="1"/>
                <w:color w:val="auto"/>
              </w:rPr>
            </w:pPr>
          </w:p>
        </w:tc>
      </w:tr>
      <w:tr>
        <w:trPr>
          <w:trHeight w:val="250"/>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247,227</w:t>
            </w:r>
          </w:p>
        </w:tc>
        <w:tc>
          <w:tcPr>
            <w:tcW w:w="2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219,732</w:t>
            </w:r>
          </w:p>
        </w:tc>
        <w:tc>
          <w:tcPr>
            <w:tcW w:w="0" w:type="dxa"/>
            <w:vAlign w:val="bottom"/>
          </w:tcPr>
          <w:p>
            <w:pPr>
              <w:spacing w:after="0"/>
              <w:rPr>
                <w:sz w:val="1"/>
                <w:szCs w:val="1"/>
                <w:color w:val="auto"/>
              </w:rPr>
            </w:pPr>
          </w:p>
        </w:tc>
      </w:tr>
      <w:tr>
        <w:trPr>
          <w:trHeight w:val="209"/>
        </w:trPr>
        <w:tc>
          <w:tcPr>
            <w:tcW w:w="7940" w:type="dxa"/>
            <w:vAlign w:val="bottom"/>
          </w:tcPr>
          <w:p>
            <w:pPr>
              <w:spacing w:after="0"/>
              <w:rPr>
                <w:sz w:val="20"/>
                <w:szCs w:val="20"/>
                <w:color w:val="auto"/>
              </w:rPr>
            </w:pPr>
            <w:r>
              <w:rPr>
                <w:rFonts w:ascii="Arial" w:cs="Arial" w:eastAsia="Arial" w:hAnsi="Arial"/>
                <w:sz w:val="18"/>
                <w:szCs w:val="18"/>
                <w:color w:val="auto"/>
              </w:rPr>
              <w:t>Operating expense (income):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61,273</w:t>
            </w:r>
          </w:p>
        </w:tc>
        <w:tc>
          <w:tcPr>
            <w:tcW w:w="0" w:type="dxa"/>
            <w:vAlign w:val="bottom"/>
          </w:tcPr>
          <w:p>
            <w:pPr>
              <w:spacing w:after="0"/>
              <w:rPr>
                <w:sz w:val="1"/>
                <w:szCs w:val="1"/>
                <w:color w:val="auto"/>
              </w:rPr>
            </w:pPr>
          </w:p>
        </w:tc>
      </w:tr>
      <w:tr>
        <w:trPr>
          <w:trHeight w:val="270"/>
        </w:trPr>
        <w:tc>
          <w:tcPr>
            <w:tcW w:w="794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52,141</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46,807</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51,154</w:t>
            </w:r>
          </w:p>
        </w:tc>
        <w:tc>
          <w:tcPr>
            <w:tcW w:w="0" w:type="dxa"/>
            <w:vAlign w:val="bottom"/>
          </w:tcPr>
          <w:p>
            <w:pPr>
              <w:spacing w:after="0"/>
              <w:rPr>
                <w:sz w:val="1"/>
                <w:szCs w:val="1"/>
                <w:color w:val="auto"/>
              </w:rPr>
            </w:pPr>
          </w:p>
        </w:tc>
      </w:tr>
      <w:tr>
        <w:trPr>
          <w:trHeight w:val="270"/>
        </w:trPr>
        <w:tc>
          <w:tcPr>
            <w:tcW w:w="7940" w:type="dxa"/>
            <w:vAlign w:val="bottom"/>
          </w:tcPr>
          <w:p>
            <w:pPr>
              <w:ind w:left="160"/>
              <w:spacing w:after="0"/>
              <w:rPr>
                <w:sz w:val="20"/>
                <w:szCs w:val="20"/>
                <w:color w:val="auto"/>
              </w:rPr>
            </w:pPr>
            <w:r>
              <w:rPr>
                <w:rFonts w:ascii="Arial" w:cs="Arial" w:eastAsia="Arial" w:hAnsi="Arial"/>
                <w:sz w:val="18"/>
                <w:szCs w:val="18"/>
                <w:color w:val="auto"/>
              </w:rPr>
              <w:t>Deferred compensation plan</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4,146</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181,442</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163,140</w:t>
            </w:r>
          </w:p>
        </w:tc>
        <w:tc>
          <w:tcPr>
            <w:tcW w:w="0" w:type="dxa"/>
            <w:vAlign w:val="bottom"/>
          </w:tcPr>
          <w:p>
            <w:pPr>
              <w:spacing w:after="0"/>
              <w:rPr>
                <w:sz w:val="1"/>
                <w:szCs w:val="1"/>
                <w:color w:val="auto"/>
              </w:rPr>
            </w:pPr>
          </w:p>
        </w:tc>
      </w:tr>
      <w:tr>
        <w:trPr>
          <w:trHeight w:val="250"/>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65,785</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0" w:type="dxa"/>
            <w:vAlign w:val="bottom"/>
          </w:tcPr>
          <w:p>
            <w:pPr>
              <w:spacing w:after="0"/>
              <w:rPr>
                <w:sz w:val="1"/>
                <w:szCs w:val="1"/>
                <w:color w:val="auto"/>
              </w:rPr>
            </w:pPr>
          </w:p>
        </w:tc>
      </w:tr>
      <w:tr>
        <w:trPr>
          <w:trHeight w:val="229"/>
        </w:trPr>
        <w:tc>
          <w:tcPr>
            <w:tcW w:w="794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50"/>
        </w:trPr>
        <w:tc>
          <w:tcPr>
            <w:tcW w:w="794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54,982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60,191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18"/>
                <w:szCs w:val="18"/>
                <w:color w:val="auto"/>
              </w:rPr>
              <w:t>Loss from investments accounted for using the equity method, net of tax</w:t>
            </w:r>
          </w:p>
        </w:tc>
        <w:tc>
          <w:tcPr>
            <w:tcW w:w="32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8"/>
        </w:trPr>
        <w:tc>
          <w:tcPr>
            <w:tcW w:w="7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 share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per share,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Net income per share,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shares, basic</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310,758,802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307,969,672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Weighted average shares,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331,251,884</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331,330,256</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type w:val="continuous"/>
        </w:sectPr>
      </w:pPr>
    </w:p>
    <w:bookmarkStart w:id="5" w:name="page6"/>
    <w:bookmarkEnd w:id="5"/>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432"/>
              <w:spacing w:after="0"/>
              <w:rPr>
                <w:sz w:val="20"/>
                <w:szCs w:val="20"/>
                <w:color w:val="auto"/>
              </w:rPr>
            </w:pPr>
            <w:r>
              <w:rPr>
                <w:rFonts w:ascii="Arial" w:cs="Arial" w:eastAsia="Arial" w:hAnsi="Arial"/>
                <w:sz w:val="16"/>
                <w:szCs w:val="16"/>
                <w:b w:val="1"/>
                <w:bCs w:val="1"/>
                <w:color w:val="auto"/>
              </w:rPr>
              <w:t>Three Months Ended</w:t>
            </w:r>
          </w:p>
        </w:tc>
      </w:tr>
      <w:tr>
        <w:trPr>
          <w:trHeight w:val="243"/>
        </w:trPr>
        <w:tc>
          <w:tcPr>
            <w:tcW w:w="8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21"/>
                <w:szCs w:val="21"/>
                <w:color w:val="auto"/>
              </w:rPr>
            </w:pPr>
          </w:p>
        </w:tc>
      </w:tr>
      <w:tr>
        <w:trPr>
          <w:trHeight w:val="237"/>
        </w:trPr>
        <w:tc>
          <w:tcPr>
            <w:tcW w:w="8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45,490</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56,388</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 comprehensive income, net of taxes: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7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w:t>
            </w:r>
          </w:p>
        </w:tc>
      </w:tr>
      <w:tr>
        <w:trPr>
          <w:trHeight w:val="270"/>
        </w:trPr>
        <w:tc>
          <w:tcPr>
            <w:tcW w:w="8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Actuarial gain on retirement plan, net of tax effect of $(6) and $(5), respectively</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income, net of taxes</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16,450</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45,856</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72,838</w:t>
            </w: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8"/>
          </w:tcPr>
          <w:p>
            <w:pPr>
              <w:ind w:left="660"/>
              <w:spacing w:after="0"/>
              <w:rPr>
                <w:sz w:val="20"/>
                <w:szCs w:val="20"/>
                <w:color w:val="auto"/>
              </w:rPr>
            </w:pPr>
            <w:r>
              <w:rPr>
                <w:rFonts w:ascii="Arial" w:cs="Arial" w:eastAsia="Arial" w:hAnsi="Arial"/>
                <w:sz w:val="13"/>
                <w:szCs w:val="13"/>
                <w:b w:val="1"/>
                <w:bCs w:val="1"/>
                <w:color w:val="auto"/>
              </w:rPr>
              <w:t>Three Months Ended March 31, 2023</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64"/>
        </w:trPr>
        <w:tc>
          <w:tcPr>
            <w:tcW w:w="3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540" w:type="dxa"/>
            <w:vAlign w:val="bottom"/>
            <w:gridSpan w:val="3"/>
          </w:tcPr>
          <w:p>
            <w:pPr>
              <w:jc w:val="center"/>
              <w:ind w:left="350"/>
              <w:spacing w:after="0"/>
              <w:rPr>
                <w:sz w:val="20"/>
                <w:szCs w:val="20"/>
                <w:color w:val="auto"/>
              </w:rPr>
            </w:pPr>
            <w:r>
              <w:rPr>
                <w:rFonts w:ascii="Arial" w:cs="Arial" w:eastAsia="Arial" w:hAnsi="Arial"/>
                <w:sz w:val="13"/>
                <w:szCs w:val="13"/>
                <w:b w:val="1"/>
                <w:bCs w:val="1"/>
                <w:color w:val="auto"/>
                <w:w w:val="85"/>
              </w:rPr>
              <w:t>Class A and Class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r>
      <w:tr>
        <w:trPr>
          <w:trHeight w:val="185"/>
        </w:trPr>
        <w:tc>
          <w:tcPr>
            <w:tcW w:w="3500" w:type="dxa"/>
            <w:vAlign w:val="bottom"/>
          </w:tcPr>
          <w:p>
            <w:pPr>
              <w:spacing w:after="0"/>
              <w:rPr>
                <w:sz w:val="16"/>
                <w:szCs w:val="16"/>
                <w:color w:val="auto"/>
              </w:rPr>
            </w:pPr>
          </w:p>
        </w:tc>
        <w:tc>
          <w:tcPr>
            <w:tcW w:w="154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3"/>
                <w:szCs w:val="13"/>
                <w:b w:val="1"/>
                <w:bCs w:val="1"/>
                <w:color w:val="auto"/>
                <w:w w:val="88"/>
              </w:rPr>
              <w:t>Common Stock</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6"/>
                <w:szCs w:val="16"/>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Stockholders’</w:t>
            </w:r>
          </w:p>
        </w:tc>
      </w:tr>
      <w:tr>
        <w:trPr>
          <w:trHeight w:val="170"/>
        </w:trPr>
        <w:tc>
          <w:tcPr>
            <w:tcW w:w="350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rPr>
              <w:t>Par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4"/>
                <w:szCs w:val="14"/>
                <w:color w:val="auto"/>
              </w:rPr>
            </w:pPr>
          </w:p>
        </w:tc>
        <w:tc>
          <w:tcPr>
            <w:tcW w:w="1020" w:type="dxa"/>
            <w:vAlign w:val="bottom"/>
          </w:tcPr>
          <w:p>
            <w:pPr>
              <w:jc w:val="center"/>
              <w:ind w:right="70"/>
              <w:spacing w:after="0" w:line="146" w:lineRule="exact"/>
              <w:rPr>
                <w:sz w:val="20"/>
                <w:szCs w:val="20"/>
                <w:color w:val="auto"/>
              </w:rPr>
            </w:pPr>
            <w:r>
              <w:rPr>
                <w:rFonts w:ascii="Arial" w:cs="Arial" w:eastAsia="Arial" w:hAnsi="Arial"/>
                <w:sz w:val="13"/>
                <w:szCs w:val="13"/>
                <w:b w:val="1"/>
                <w:bCs w:val="1"/>
                <w:color w:val="auto"/>
                <w:w w:val="90"/>
              </w:rPr>
              <w:t>Equity</w:t>
            </w:r>
          </w:p>
        </w:tc>
      </w:tr>
      <w:tr>
        <w:trPr>
          <w:trHeight w:val="182"/>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2022</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289,014,487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2,890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1,030,466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(89,740)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(370,866)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573,454</w:t>
            </w:r>
          </w:p>
        </w:tc>
      </w:tr>
      <w:tr>
        <w:trPr>
          <w:trHeight w:val="204"/>
        </w:trPr>
        <w:tc>
          <w:tcPr>
            <w:tcW w:w="35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45,490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45,490</w:t>
            </w:r>
          </w:p>
        </w:tc>
      </w:tr>
      <w:tr>
        <w:trPr>
          <w:trHeight w:val="26"/>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w:t>
            </w:r>
          </w:p>
        </w:tc>
      </w:tr>
      <w:tr>
        <w:trPr>
          <w:trHeight w:val="204"/>
        </w:trPr>
        <w:tc>
          <w:tcPr>
            <w:tcW w:w="3500" w:type="dxa"/>
            <w:vAlign w:val="bottom"/>
          </w:tcPr>
          <w:p>
            <w:pPr>
              <w:ind w:left="180"/>
              <w:spacing w:after="0"/>
              <w:rPr>
                <w:sz w:val="20"/>
                <w:szCs w:val="20"/>
                <w:color w:val="auto"/>
              </w:rPr>
            </w:pPr>
            <w:r>
              <w:rPr>
                <w:rFonts w:ascii="Arial" w:cs="Arial" w:eastAsia="Arial" w:hAnsi="Arial"/>
                <w:sz w:val="14"/>
                <w:szCs w:val="14"/>
                <w:color w:val="auto"/>
              </w:rPr>
              <w:t>Dividends declared</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(14,522)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(14,522)</w:t>
            </w:r>
          </w:p>
        </w:tc>
      </w:tr>
      <w:tr>
        <w:trPr>
          <w:trHeight w:val="26"/>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Shares issued in connection with deferred compensation</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1"/>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plan, net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1,052,738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(13,626)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(13,626)</w:t>
            </w:r>
          </w:p>
        </w:tc>
      </w:tr>
      <w:tr>
        <w:trPr>
          <w:trHeight w:val="184"/>
        </w:trPr>
        <w:tc>
          <w:tcPr>
            <w:tcW w:w="3500" w:type="dxa"/>
            <w:vAlign w:val="bottom"/>
          </w:tcPr>
          <w:p>
            <w:pPr>
              <w:ind w:left="180"/>
              <w:spacing w:after="0"/>
              <w:rPr>
                <w:sz w:val="20"/>
                <w:szCs w:val="20"/>
                <w:color w:val="auto"/>
              </w:rPr>
            </w:pPr>
            <w:r>
              <w:rPr>
                <w:rFonts w:ascii="Arial" w:cs="Arial" w:eastAsia="Arial" w:hAnsi="Arial"/>
                <w:sz w:val="14"/>
                <w:szCs w:val="14"/>
                <w:color w:val="auto"/>
              </w:rPr>
              <w:t>Deferred compensation plan elective participant</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3500" w:type="dxa"/>
            <w:vAlign w:val="bottom"/>
          </w:tcPr>
          <w:p>
            <w:pPr>
              <w:ind w:left="340"/>
              <w:spacing w:after="0"/>
              <w:rPr>
                <w:sz w:val="20"/>
                <w:szCs w:val="20"/>
                <w:color w:val="auto"/>
              </w:rPr>
            </w:pPr>
            <w:r>
              <w:rPr>
                <w:rFonts w:ascii="Arial" w:cs="Arial" w:eastAsia="Arial" w:hAnsi="Arial"/>
                <w:sz w:val="14"/>
                <w:szCs w:val="14"/>
                <w:color w:val="auto"/>
              </w:rPr>
              <w:t>deferrals</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1,533</w:t>
            </w:r>
          </w:p>
        </w:tc>
      </w:tr>
      <w:tr>
        <w:trPr>
          <w:trHeight w:val="26"/>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Shares issued in connection with executive bonus plan,</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1"/>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79,804</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3,059</w:t>
            </w:r>
          </w:p>
        </w:tc>
      </w:tr>
      <w:tr>
        <w:trPr>
          <w:trHeight w:val="184"/>
        </w:trPr>
        <w:tc>
          <w:tcPr>
            <w:tcW w:w="3500" w:type="dxa"/>
            <w:vAlign w:val="bottom"/>
          </w:tcPr>
          <w:p>
            <w:pPr>
              <w:ind w:left="180"/>
              <w:spacing w:after="0"/>
              <w:rPr>
                <w:sz w:val="20"/>
                <w:szCs w:val="20"/>
                <w:color w:val="auto"/>
              </w:rPr>
            </w:pPr>
            <w:r>
              <w:rPr>
                <w:rFonts w:ascii="Arial" w:cs="Arial" w:eastAsia="Arial" w:hAnsi="Arial"/>
                <w:sz w:val="14"/>
                <w:szCs w:val="14"/>
                <w:color w:val="auto"/>
              </w:rPr>
              <w:t>Shares issued in connection with employee stock</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3500" w:type="dxa"/>
            <w:vAlign w:val="bottom"/>
          </w:tcPr>
          <w:p>
            <w:pPr>
              <w:ind w:left="340"/>
              <w:spacing w:after="0"/>
              <w:rPr>
                <w:sz w:val="20"/>
                <w:szCs w:val="20"/>
                <w:color w:val="auto"/>
              </w:rPr>
            </w:pPr>
            <w:r>
              <w:rPr>
                <w:rFonts w:ascii="Arial" w:cs="Arial" w:eastAsia="Arial" w:hAnsi="Arial"/>
                <w:sz w:val="14"/>
                <w:szCs w:val="14"/>
                <w:color w:val="auto"/>
              </w:rPr>
              <w:t>purchase plan, net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153,381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4,335</w:t>
            </w:r>
          </w:p>
        </w:tc>
      </w:tr>
      <w:tr>
        <w:trPr>
          <w:trHeight w:val="26"/>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 option exercises, net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928,300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2,501</w:t>
            </w:r>
          </w:p>
        </w:tc>
      </w:tr>
      <w:tr>
        <w:trPr>
          <w:trHeight w:val="204"/>
        </w:trPr>
        <w:tc>
          <w:tcPr>
            <w:tcW w:w="350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14,625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14,625</w:t>
            </w:r>
          </w:p>
        </w:tc>
      </w:tr>
      <w:tr>
        <w:trPr>
          <w:trHeight w:val="25"/>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related to restricted stock, net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272,561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(3,025)</w:t>
            </w: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color w:val="auto"/>
              </w:rPr>
              <w:t>Balance, March 31, 2023</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291,501,271</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2,915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1,060,842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(89,374)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(360,897)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614,190</w:t>
            </w:r>
          </w:p>
        </w:tc>
      </w:tr>
      <w:tr>
        <w:trPr>
          <w:trHeight w:val="20"/>
        </w:trPr>
        <w:tc>
          <w:tcPr>
            <w:tcW w:w="3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14"/>
        </w:trPr>
        <w:tc>
          <w:tcPr>
            <w:tcW w:w="35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ind w:left="660"/>
              <w:spacing w:after="0"/>
              <w:rPr>
                <w:sz w:val="20"/>
                <w:szCs w:val="20"/>
                <w:color w:val="auto"/>
              </w:rPr>
            </w:pPr>
            <w:r>
              <w:rPr>
                <w:rFonts w:ascii="Arial" w:cs="Arial" w:eastAsia="Arial" w:hAnsi="Arial"/>
                <w:sz w:val="13"/>
                <w:szCs w:val="13"/>
                <w:b w:val="1"/>
                <w:bCs w:val="1"/>
                <w:color w:val="auto"/>
              </w:rPr>
              <w:t>Three Months Ended March 31, 2022</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64"/>
        </w:trPr>
        <w:tc>
          <w:tcPr>
            <w:tcW w:w="3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500" w:type="dxa"/>
            <w:vAlign w:val="bottom"/>
          </w:tcPr>
          <w:p>
            <w:pPr>
              <w:spacing w:after="0"/>
              <w:rPr>
                <w:sz w:val="14"/>
                <w:szCs w:val="14"/>
                <w:color w:val="auto"/>
              </w:rPr>
            </w:pPr>
          </w:p>
        </w:tc>
        <w:tc>
          <w:tcPr>
            <w:tcW w:w="1540" w:type="dxa"/>
            <w:vAlign w:val="bottom"/>
            <w:gridSpan w:val="3"/>
          </w:tcPr>
          <w:p>
            <w:pPr>
              <w:jc w:val="center"/>
              <w:ind w:left="350"/>
              <w:spacing w:after="0"/>
              <w:rPr>
                <w:sz w:val="20"/>
                <w:szCs w:val="20"/>
                <w:color w:val="auto"/>
              </w:rPr>
            </w:pPr>
            <w:r>
              <w:rPr>
                <w:rFonts w:ascii="Arial" w:cs="Arial" w:eastAsia="Arial" w:hAnsi="Arial"/>
                <w:sz w:val="13"/>
                <w:szCs w:val="13"/>
                <w:b w:val="1"/>
                <w:bCs w:val="1"/>
                <w:color w:val="auto"/>
                <w:w w:val="85"/>
              </w:rPr>
              <w:t>Class A and Class B</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r>
      <w:tr>
        <w:trPr>
          <w:trHeight w:val="185"/>
        </w:trPr>
        <w:tc>
          <w:tcPr>
            <w:tcW w:w="3500" w:type="dxa"/>
            <w:vAlign w:val="bottom"/>
          </w:tcPr>
          <w:p>
            <w:pPr>
              <w:spacing w:after="0"/>
              <w:rPr>
                <w:sz w:val="16"/>
                <w:szCs w:val="16"/>
                <w:color w:val="auto"/>
              </w:rPr>
            </w:pPr>
          </w:p>
        </w:tc>
        <w:tc>
          <w:tcPr>
            <w:tcW w:w="154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3"/>
                <w:szCs w:val="13"/>
                <w:b w:val="1"/>
                <w:bCs w:val="1"/>
                <w:color w:val="auto"/>
                <w:w w:val="88"/>
              </w:rPr>
              <w:t>Common Stock</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6"/>
                <w:szCs w:val="16"/>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Stockholders’</w:t>
            </w:r>
          </w:p>
        </w:tc>
      </w:tr>
      <w:tr>
        <w:trPr>
          <w:trHeight w:val="170"/>
        </w:trPr>
        <w:tc>
          <w:tcPr>
            <w:tcW w:w="350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rPr>
              <w:t>Par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78"/>
              </w:rPr>
              <w:t>Loss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89"/>
              </w:rPr>
              <w:t>Interest</w:t>
            </w:r>
          </w:p>
        </w:tc>
        <w:tc>
          <w:tcPr>
            <w:tcW w:w="140" w:type="dxa"/>
            <w:vAlign w:val="bottom"/>
          </w:tcPr>
          <w:p>
            <w:pPr>
              <w:spacing w:after="0"/>
              <w:rPr>
                <w:sz w:val="14"/>
                <w:szCs w:val="14"/>
                <w:color w:val="auto"/>
              </w:rPr>
            </w:pPr>
          </w:p>
        </w:tc>
        <w:tc>
          <w:tcPr>
            <w:tcW w:w="1020" w:type="dxa"/>
            <w:vAlign w:val="bottom"/>
          </w:tcPr>
          <w:p>
            <w:pPr>
              <w:jc w:val="center"/>
              <w:ind w:right="70"/>
              <w:spacing w:after="0" w:line="146" w:lineRule="exact"/>
              <w:rPr>
                <w:sz w:val="20"/>
                <w:szCs w:val="20"/>
                <w:color w:val="auto"/>
              </w:rPr>
            </w:pPr>
            <w:r>
              <w:rPr>
                <w:rFonts w:ascii="Arial" w:cs="Arial" w:eastAsia="Arial" w:hAnsi="Arial"/>
                <w:sz w:val="13"/>
                <w:szCs w:val="13"/>
                <w:b w:val="1"/>
                <w:bCs w:val="1"/>
                <w:color w:val="auto"/>
                <w:w w:val="90"/>
              </w:rPr>
              <w:t>Equity</w:t>
            </w:r>
          </w:p>
        </w:tc>
      </w:tr>
      <w:tr>
        <w:trPr>
          <w:trHeight w:val="182"/>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282,526,719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2,825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937,805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(91,774)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(439,634)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409,222</w:t>
            </w:r>
          </w:p>
        </w:tc>
      </w:tr>
      <w:tr>
        <w:trPr>
          <w:trHeight w:val="204"/>
        </w:trPr>
        <w:tc>
          <w:tcPr>
            <w:tcW w:w="350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56,388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56,388</w:t>
            </w:r>
          </w:p>
        </w:tc>
      </w:tr>
      <w:tr>
        <w:trPr>
          <w:trHeight w:val="25"/>
        </w:trPr>
        <w:tc>
          <w:tcPr>
            <w:tcW w:w="35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16,450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16,450</w:t>
            </w:r>
          </w:p>
        </w:tc>
      </w:tr>
      <w:tr>
        <w:trPr>
          <w:trHeight w:val="204"/>
        </w:trPr>
        <w:tc>
          <w:tcPr>
            <w:tcW w:w="3500" w:type="dxa"/>
            <w:vAlign w:val="bottom"/>
          </w:tcPr>
          <w:p>
            <w:pPr>
              <w:ind w:left="180"/>
              <w:spacing w:after="0"/>
              <w:rPr>
                <w:sz w:val="20"/>
                <w:szCs w:val="20"/>
                <w:color w:val="auto"/>
              </w:rPr>
            </w:pPr>
            <w:r>
              <w:rPr>
                <w:rFonts w:ascii="Arial" w:cs="Arial" w:eastAsia="Arial" w:hAnsi="Arial"/>
                <w:sz w:val="14"/>
                <w:szCs w:val="14"/>
                <w:color w:val="auto"/>
              </w:rPr>
              <w:t>Dividends declared</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(8,353)</w:t>
            </w:r>
          </w:p>
        </w:tc>
      </w:tr>
      <w:tr>
        <w:trPr>
          <w:trHeight w:val="25"/>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Shares issued in connection with deferred compensation</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1"/>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plan, net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809,751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(24,246)</w:t>
            </w:r>
          </w:p>
        </w:tc>
      </w:tr>
      <w:tr>
        <w:trPr>
          <w:trHeight w:val="184"/>
        </w:trPr>
        <w:tc>
          <w:tcPr>
            <w:tcW w:w="3500" w:type="dxa"/>
            <w:vAlign w:val="bottom"/>
          </w:tcPr>
          <w:p>
            <w:pPr>
              <w:ind w:left="180"/>
              <w:spacing w:after="0"/>
              <w:rPr>
                <w:sz w:val="20"/>
                <w:szCs w:val="20"/>
                <w:color w:val="auto"/>
              </w:rPr>
            </w:pPr>
            <w:r>
              <w:rPr>
                <w:rFonts w:ascii="Arial" w:cs="Arial" w:eastAsia="Arial" w:hAnsi="Arial"/>
                <w:sz w:val="14"/>
                <w:szCs w:val="14"/>
                <w:color w:val="auto"/>
              </w:rPr>
              <w:t>Deferred compensation plan elective participant</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3500" w:type="dxa"/>
            <w:vAlign w:val="bottom"/>
          </w:tcPr>
          <w:p>
            <w:pPr>
              <w:ind w:left="340"/>
              <w:spacing w:after="0"/>
              <w:rPr>
                <w:sz w:val="20"/>
                <w:szCs w:val="20"/>
                <w:color w:val="auto"/>
              </w:rPr>
            </w:pPr>
            <w:r>
              <w:rPr>
                <w:rFonts w:ascii="Arial" w:cs="Arial" w:eastAsia="Arial" w:hAnsi="Arial"/>
                <w:sz w:val="14"/>
                <w:szCs w:val="14"/>
                <w:color w:val="auto"/>
              </w:rPr>
              <w:t>deferrals</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669</w:t>
            </w:r>
          </w:p>
        </w:tc>
      </w:tr>
      <w:tr>
        <w:trPr>
          <w:trHeight w:val="25"/>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issued in connection with executive bonus</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1"/>
        </w:trPr>
        <w:tc>
          <w:tcPr>
            <w:tcW w:w="3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plan, net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72,105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2,804</w:t>
            </w:r>
          </w:p>
        </w:tc>
      </w:tr>
      <w:tr>
        <w:trPr>
          <w:trHeight w:val="184"/>
        </w:trPr>
        <w:tc>
          <w:tcPr>
            <w:tcW w:w="3500" w:type="dxa"/>
            <w:vAlign w:val="bottom"/>
          </w:tcPr>
          <w:p>
            <w:pPr>
              <w:ind w:left="180"/>
              <w:spacing w:after="0"/>
              <w:rPr>
                <w:sz w:val="20"/>
                <w:szCs w:val="20"/>
                <w:color w:val="auto"/>
              </w:rPr>
            </w:pPr>
            <w:r>
              <w:rPr>
                <w:rFonts w:ascii="Arial" w:cs="Arial" w:eastAsia="Arial" w:hAnsi="Arial"/>
                <w:sz w:val="14"/>
                <w:szCs w:val="14"/>
                <w:color w:val="auto"/>
              </w:rPr>
              <w:t>Shares issued in connection with employee stock</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3500" w:type="dxa"/>
            <w:vAlign w:val="bottom"/>
          </w:tcPr>
          <w:p>
            <w:pPr>
              <w:ind w:left="340"/>
              <w:spacing w:after="0"/>
              <w:rPr>
                <w:sz w:val="20"/>
                <w:szCs w:val="20"/>
                <w:color w:val="auto"/>
              </w:rPr>
            </w:pPr>
            <w:r>
              <w:rPr>
                <w:rFonts w:ascii="Arial" w:cs="Arial" w:eastAsia="Arial" w:hAnsi="Arial"/>
                <w:sz w:val="14"/>
                <w:szCs w:val="14"/>
                <w:color w:val="auto"/>
              </w:rPr>
              <w:t>purchase plan, net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109,749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4,490</w:t>
            </w:r>
          </w:p>
        </w:tc>
      </w:tr>
      <w:tr>
        <w:trPr>
          <w:trHeight w:val="25"/>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0"/>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 option exercises, net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1,401,249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(7,651)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(4,883)</w:t>
            </w:r>
          </w:p>
        </w:tc>
      </w:tr>
      <w:tr>
        <w:trPr>
          <w:trHeight w:val="204"/>
        </w:trPr>
        <w:tc>
          <w:tcPr>
            <w:tcW w:w="3500" w:type="dxa"/>
            <w:vAlign w:val="bottom"/>
          </w:tcPr>
          <w:p>
            <w:pPr>
              <w:ind w:left="180"/>
              <w:spacing w:after="0"/>
              <w:rPr>
                <w:sz w:val="20"/>
                <w:szCs w:val="20"/>
                <w:color w:val="auto"/>
              </w:rPr>
            </w:pPr>
            <w:r>
              <w:rPr>
                <w:rFonts w:ascii="Arial" w:cs="Arial" w:eastAsia="Arial" w:hAnsi="Arial"/>
                <w:sz w:val="14"/>
                <w:szCs w:val="14"/>
                <w:color w:val="auto"/>
              </w:rPr>
              <w:t>Acquisition option exercises, net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149,855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35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9"/>
        </w:trPr>
        <w:tc>
          <w:tcPr>
            <w:tcW w:w="3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6,667</w:t>
            </w:r>
          </w:p>
        </w:tc>
      </w:tr>
      <w:tr>
        <w:trPr>
          <w:trHeight w:val="204"/>
        </w:trPr>
        <w:tc>
          <w:tcPr>
            <w:tcW w:w="3500" w:type="dxa"/>
            <w:vAlign w:val="bottom"/>
          </w:tcPr>
          <w:p>
            <w:pPr>
              <w:ind w:left="180"/>
              <w:spacing w:after="0"/>
              <w:rPr>
                <w:sz w:val="20"/>
                <w:szCs w:val="20"/>
                <w:color w:val="auto"/>
              </w:rPr>
            </w:pPr>
            <w:r>
              <w:rPr>
                <w:rFonts w:ascii="Arial" w:cs="Arial" w:eastAsia="Arial" w:hAnsi="Arial"/>
                <w:sz w:val="14"/>
                <w:szCs w:val="14"/>
                <w:color w:val="auto"/>
              </w:rPr>
              <w:t>Shares related to restricted stock, net</w:t>
            </w: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64,665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(1,555)</w:t>
            </w:r>
          </w:p>
        </w:tc>
      </w:tr>
      <w:tr>
        <w:trPr>
          <w:trHeight w:val="25"/>
        </w:trPr>
        <w:tc>
          <w:tcPr>
            <w:tcW w:w="3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2022</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285,134,093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2,851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957,498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(427,372)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457,653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7" w:name="page8"/>
    <w:bookmarkEnd w:id="7"/>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BENTLEY SYSTEMS, INCORPORATED</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20320</wp:posOffset>
            </wp:positionV>
            <wp:extent cx="1808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jc w:val="both"/>
        <w:ind w:left="8880"/>
        <w:spacing w:after="0"/>
        <w:tabs>
          <w:tab w:leader="none" w:pos="1042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ectPr>
          <w:pgSz w:w="11900" w:h="16838" w:orient="portrait"/>
          <w:cols w:equalWidth="0" w:num="1">
            <w:col w:w="11240"/>
          </w:cols>
          <w:pgMar w:left="320" w:top="1440"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compensation plan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of deferred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in fair value of derivative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 currency remeasurement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non-cash items, net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assets and liabilities, net of effect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accruals, and other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taxes payable, net of prepaid income taxes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Purchases of property and equipment and investment in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sale of aircraft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investments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credit facilities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Repayments from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contingent and non-contingent consideration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right="2600"/>
        <w:spacing w:after="0" w:line="313" w:lineRule="auto"/>
        <w:rPr>
          <w:sz w:val="20"/>
          <w:szCs w:val="20"/>
          <w:color w:val="auto"/>
        </w:rPr>
      </w:pPr>
      <w:r>
        <w:rPr>
          <w:rFonts w:ascii="Arial" w:cs="Arial" w:eastAsia="Arial" w:hAnsi="Arial"/>
          <w:sz w:val="18"/>
          <w:szCs w:val="18"/>
          <w:color w:val="auto"/>
        </w:rPr>
        <w:t>Proceeds from stock purchases under employee stock purchase plan 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right="2820"/>
        <w:spacing w:after="0" w:line="316" w:lineRule="auto"/>
        <w:rPr>
          <w:sz w:val="20"/>
          <w:szCs w:val="20"/>
          <w:color w:val="auto"/>
        </w:rPr>
      </w:pPr>
      <w:r>
        <w:rPr>
          <w:rFonts w:ascii="Arial" w:cs="Arial" w:eastAsia="Arial" w:hAnsi="Arial"/>
          <w:sz w:val="18"/>
          <w:szCs w:val="18"/>
          <w:color w:val="auto"/>
        </w:rPr>
        <w:t>Payments for shares acquired including shares withheld for taxes Other financing activities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45,490</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56,388</w:t>
            </w:r>
          </w:p>
        </w:tc>
      </w:tr>
      <w:tr>
        <w:trPr>
          <w:trHeight w:val="540"/>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18,057</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17,212</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(4,178)</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9,042</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19,484</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15,099</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4,146</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(5,138)</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1,823</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4,489</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(12,084)</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1,677</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(4,411)</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540"/>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15,420</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8,691</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12,137</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5,718</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53,127</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26,791</w:t>
            </w:r>
          </w:p>
        </w:tc>
      </w:tr>
      <w:tr>
        <w:trPr>
          <w:trHeight w:val="270"/>
        </w:trPr>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1,942</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(12,515)</w:t>
            </w:r>
          </w:p>
        </w:tc>
      </w:tr>
      <w:tr>
        <w:trPr>
          <w:trHeight w:val="270"/>
        </w:trPr>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w:t>
            </w:r>
          </w:p>
        </w:tc>
        <w:tc>
          <w:tcPr>
            <w:tcW w:w="2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(10,814)</w:t>
            </w:r>
          </w:p>
        </w:tc>
      </w:tr>
      <w:tr>
        <w:trPr>
          <w:trHeight w:val="243"/>
        </w:trPr>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176,223</w:t>
            </w:r>
          </w:p>
        </w:tc>
        <w:tc>
          <w:tcPr>
            <w:tcW w:w="2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101,731</w:t>
            </w:r>
          </w:p>
        </w:tc>
      </w:tr>
      <w:tr>
        <w:trPr>
          <w:trHeight w:val="486"/>
        </w:trPr>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(4,284)</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(4,176)</w:t>
            </w:r>
          </w:p>
        </w:tc>
      </w:tr>
    </w:tbl>
    <w:p>
      <w:pPr>
        <w:spacing w:after="0" w:line="4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2,380</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(10,299)</w:t>
      </w:r>
      <w:r>
        <w:rPr>
          <w:rFonts w:ascii="Arial" w:cs="Arial" w:eastAsia="Arial" w:hAnsi="Arial"/>
          <w:sz w:val="16"/>
          <w:szCs w:val="16"/>
          <w:color w:val="auto"/>
        </w:rPr>
        <w:t>(695,968)</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(6,178)</w:t>
      </w:r>
      <w:r>
        <w:rPr>
          <w:rFonts w:ascii="Arial" w:cs="Arial" w:eastAsia="Arial" w:hAnsi="Arial"/>
          <w:sz w:val="16"/>
          <w:szCs w:val="16"/>
          <w:color w:val="auto"/>
        </w:rPr>
        <w:t>(2,811)</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(20,761)</w:t>
      </w:r>
      <w:r>
        <w:rPr>
          <w:rFonts w:ascii="Arial" w:cs="Arial" w:eastAsia="Arial" w:hAnsi="Arial"/>
          <w:sz w:val="16"/>
          <w:szCs w:val="16"/>
          <w:color w:val="auto"/>
        </w:rPr>
        <w:t>(700,575)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8084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86"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18"/>
          <w:szCs w:val="18"/>
          <w:color w:val="auto"/>
        </w:rPr>
        <w:t>117,139</w:t>
      </w:r>
      <w:r>
        <w:rPr>
          <w:sz w:val="20"/>
          <w:szCs w:val="20"/>
          <w:color w:val="auto"/>
        </w:rPr>
        <w:tab/>
      </w:r>
      <w:r>
        <w:rPr>
          <w:rFonts w:ascii="Arial" w:cs="Arial" w:eastAsia="Arial" w:hAnsi="Arial"/>
          <w:sz w:val="18"/>
          <w:szCs w:val="18"/>
          <w:color w:val="auto"/>
        </w:rPr>
        <w:t>563,912</w:t>
      </w:r>
    </w:p>
    <w:p>
      <w:pPr>
        <w:spacing w:after="0" w:line="63" w:lineRule="exact"/>
        <w:rPr>
          <w:sz w:val="20"/>
          <w:szCs w:val="20"/>
          <w:color w:val="auto"/>
        </w:rPr>
      </w:pPr>
    </w:p>
    <w:p>
      <w:pPr>
        <w:ind w:left="560"/>
        <w:spacing w:after="0"/>
        <w:tabs>
          <w:tab w:leader="none" w:pos="2080" w:val="left"/>
        </w:tabs>
        <w:rPr>
          <w:sz w:val="20"/>
          <w:szCs w:val="20"/>
          <w:color w:val="auto"/>
        </w:rPr>
      </w:pPr>
      <w:r>
        <w:rPr>
          <w:rFonts w:ascii="Arial" w:cs="Arial" w:eastAsia="Arial" w:hAnsi="Arial"/>
          <w:sz w:val="17"/>
          <w:szCs w:val="17"/>
          <w:color w:val="auto"/>
        </w:rPr>
        <w:t>(223,124)</w:t>
      </w:r>
      <w:r>
        <w:rPr>
          <w:sz w:val="20"/>
          <w:szCs w:val="20"/>
          <w:color w:val="auto"/>
        </w:rPr>
        <w:tab/>
      </w:r>
      <w:r>
        <w:rPr>
          <w:rFonts w:ascii="Arial" w:cs="Arial" w:eastAsia="Arial" w:hAnsi="Arial"/>
          <w:sz w:val="17"/>
          <w:szCs w:val="17"/>
          <w:color w:val="auto"/>
        </w:rPr>
        <w:t>(123,696)</w:t>
      </w:r>
    </w:p>
    <w:p>
      <w:pPr>
        <w:spacing w:after="0" w:line="75" w:lineRule="exact"/>
        <w:rPr>
          <w:sz w:val="20"/>
          <w:szCs w:val="20"/>
          <w:color w:val="auto"/>
        </w:rPr>
      </w:pPr>
    </w:p>
    <w:p>
      <w:pPr>
        <w:ind w:left="740"/>
        <w:spacing w:after="0"/>
        <w:tabs>
          <w:tab w:leader="none" w:pos="2260" w:val="left"/>
        </w:tabs>
        <w:rPr>
          <w:sz w:val="20"/>
          <w:szCs w:val="20"/>
          <w:color w:val="auto"/>
        </w:rPr>
      </w:pPr>
      <w:r>
        <w:rPr>
          <w:rFonts w:ascii="Arial" w:cs="Arial" w:eastAsia="Arial" w:hAnsi="Arial"/>
          <w:sz w:val="17"/>
          <w:szCs w:val="17"/>
          <w:color w:val="auto"/>
        </w:rPr>
        <w:t>(1,250)</w:t>
      </w:r>
      <w:r>
        <w:rPr>
          <w:sz w:val="20"/>
          <w:szCs w:val="20"/>
          <w:color w:val="auto"/>
        </w:rPr>
        <w:tab/>
      </w:r>
      <w:r>
        <w:rPr>
          <w:rFonts w:ascii="Arial" w:cs="Arial" w:eastAsia="Arial" w:hAnsi="Arial"/>
          <w:sz w:val="17"/>
          <w:szCs w:val="17"/>
          <w:color w:val="auto"/>
        </w:rPr>
        <w:t>(1,250)</w:t>
      </w:r>
    </w:p>
    <w:p>
      <w:pPr>
        <w:spacing w:after="0" w:line="75" w:lineRule="exact"/>
        <w:rPr>
          <w:sz w:val="20"/>
          <w:szCs w:val="20"/>
          <w:color w:val="auto"/>
        </w:rPr>
      </w:pPr>
    </w:p>
    <w:p>
      <w:pPr>
        <w:ind w:left="2280" w:hanging="1409"/>
        <w:spacing w:after="0"/>
        <w:tabs>
          <w:tab w:leader="none" w:pos="2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(2,721)</w:t>
      </w:r>
    </w:p>
    <w:p>
      <w:pPr>
        <w:spacing w:after="0" w:line="7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1100" w:type="dxa"/>
            <w:vAlign w:val="bottom"/>
          </w:tcPr>
          <w:p>
            <w:pPr>
              <w:jc w:val="right"/>
              <w:ind w:right="390"/>
              <w:spacing w:after="0"/>
              <w:rPr>
                <w:sz w:val="20"/>
                <w:szCs w:val="20"/>
                <w:color w:val="auto"/>
              </w:rPr>
            </w:pPr>
            <w:r>
              <w:rPr>
                <w:rFonts w:ascii="Arial" w:cs="Arial" w:eastAsia="Arial" w:hAnsi="Arial"/>
                <w:sz w:val="18"/>
                <w:szCs w:val="18"/>
                <w:color w:val="auto"/>
                <w:w w:val="89"/>
              </w:rPr>
              <w:t>(14,522)</w:t>
            </w:r>
          </w:p>
        </w:tc>
        <w:tc>
          <w:tcPr>
            <w:tcW w:w="1080" w:type="dxa"/>
            <w:vAlign w:val="bottom"/>
          </w:tcPr>
          <w:p>
            <w:pPr>
              <w:jc w:val="right"/>
              <w:spacing w:after="0"/>
              <w:rPr>
                <w:sz w:val="20"/>
                <w:szCs w:val="20"/>
                <w:color w:val="auto"/>
              </w:rPr>
            </w:pPr>
            <w:r>
              <w:rPr>
                <w:rFonts w:ascii="Arial" w:cs="Arial" w:eastAsia="Arial" w:hAnsi="Arial"/>
                <w:sz w:val="18"/>
                <w:szCs w:val="18"/>
                <w:color w:val="auto"/>
              </w:rPr>
              <w:t>(8,528)</w:t>
            </w:r>
          </w:p>
        </w:tc>
      </w:tr>
      <w:tr>
        <w:trPr>
          <w:trHeight w:val="270"/>
        </w:trPr>
        <w:tc>
          <w:tcPr>
            <w:tcW w:w="1100" w:type="dxa"/>
            <w:vAlign w:val="bottom"/>
          </w:tcPr>
          <w:p>
            <w:pPr>
              <w:jc w:val="right"/>
              <w:ind w:right="430"/>
              <w:spacing w:after="0"/>
              <w:rPr>
                <w:sz w:val="20"/>
                <w:szCs w:val="20"/>
                <w:color w:val="auto"/>
              </w:rPr>
            </w:pPr>
            <w:r>
              <w:rPr>
                <w:rFonts w:ascii="Arial" w:cs="Arial" w:eastAsia="Arial" w:hAnsi="Arial"/>
                <w:sz w:val="18"/>
                <w:szCs w:val="18"/>
                <w:color w:val="auto"/>
              </w:rPr>
              <w:t>4,557</w:t>
            </w:r>
          </w:p>
        </w:tc>
        <w:tc>
          <w:tcPr>
            <w:tcW w:w="1080" w:type="dxa"/>
            <w:vAlign w:val="bottom"/>
          </w:tcPr>
          <w:p>
            <w:pPr>
              <w:jc w:val="right"/>
              <w:spacing w:after="0"/>
              <w:rPr>
                <w:sz w:val="20"/>
                <w:szCs w:val="20"/>
                <w:color w:val="auto"/>
              </w:rPr>
            </w:pPr>
            <w:r>
              <w:rPr>
                <w:rFonts w:ascii="Arial" w:cs="Arial" w:eastAsia="Arial" w:hAnsi="Arial"/>
                <w:sz w:val="18"/>
                <w:szCs w:val="18"/>
                <w:color w:val="auto"/>
              </w:rPr>
              <w:t>4,611</w:t>
            </w:r>
          </w:p>
        </w:tc>
      </w:tr>
      <w:tr>
        <w:trPr>
          <w:trHeight w:val="270"/>
        </w:trPr>
        <w:tc>
          <w:tcPr>
            <w:tcW w:w="1100" w:type="dxa"/>
            <w:vAlign w:val="bottom"/>
          </w:tcPr>
          <w:p>
            <w:pPr>
              <w:jc w:val="right"/>
              <w:ind w:right="430"/>
              <w:spacing w:after="0"/>
              <w:rPr>
                <w:sz w:val="20"/>
                <w:szCs w:val="20"/>
                <w:color w:val="auto"/>
              </w:rPr>
            </w:pPr>
            <w:r>
              <w:rPr>
                <w:rFonts w:ascii="Arial" w:cs="Arial" w:eastAsia="Arial" w:hAnsi="Arial"/>
                <w:sz w:val="18"/>
                <w:szCs w:val="18"/>
                <w:color w:val="auto"/>
              </w:rPr>
              <w:t>4,202</w:t>
            </w:r>
          </w:p>
        </w:tc>
        <w:tc>
          <w:tcPr>
            <w:tcW w:w="1080" w:type="dxa"/>
            <w:vAlign w:val="bottom"/>
          </w:tcPr>
          <w:p>
            <w:pPr>
              <w:jc w:val="right"/>
              <w:spacing w:after="0"/>
              <w:rPr>
                <w:sz w:val="20"/>
                <w:szCs w:val="20"/>
                <w:color w:val="auto"/>
              </w:rPr>
            </w:pPr>
            <w:r>
              <w:rPr>
                <w:rFonts w:ascii="Arial" w:cs="Arial" w:eastAsia="Arial" w:hAnsi="Arial"/>
                <w:sz w:val="18"/>
                <w:szCs w:val="18"/>
                <w:color w:val="auto"/>
              </w:rPr>
              <w:t>2,768</w:t>
            </w:r>
          </w:p>
        </w:tc>
      </w:tr>
      <w:tr>
        <w:trPr>
          <w:trHeight w:val="270"/>
        </w:trPr>
        <w:tc>
          <w:tcPr>
            <w:tcW w:w="1100" w:type="dxa"/>
            <w:vAlign w:val="bottom"/>
          </w:tcPr>
          <w:p>
            <w:pPr>
              <w:jc w:val="right"/>
              <w:ind w:right="390"/>
              <w:spacing w:after="0"/>
              <w:rPr>
                <w:sz w:val="20"/>
                <w:szCs w:val="20"/>
                <w:color w:val="auto"/>
              </w:rPr>
            </w:pPr>
            <w:r>
              <w:rPr>
                <w:rFonts w:ascii="Arial" w:cs="Arial" w:eastAsia="Arial" w:hAnsi="Arial"/>
                <w:sz w:val="18"/>
                <w:szCs w:val="18"/>
                <w:color w:val="auto"/>
                <w:w w:val="89"/>
              </w:rPr>
              <w:t>(20,948)</w:t>
            </w:r>
          </w:p>
        </w:tc>
        <w:tc>
          <w:tcPr>
            <w:tcW w:w="1080" w:type="dxa"/>
            <w:vAlign w:val="bottom"/>
          </w:tcPr>
          <w:p>
            <w:pPr>
              <w:jc w:val="right"/>
              <w:spacing w:after="0"/>
              <w:rPr>
                <w:sz w:val="20"/>
                <w:szCs w:val="20"/>
                <w:color w:val="auto"/>
              </w:rPr>
            </w:pPr>
            <w:r>
              <w:rPr>
                <w:rFonts w:ascii="Arial" w:cs="Arial" w:eastAsia="Arial" w:hAnsi="Arial"/>
                <w:sz w:val="18"/>
                <w:szCs w:val="18"/>
                <w:color w:val="auto"/>
              </w:rPr>
              <w:t>(35,117)</w:t>
            </w:r>
          </w:p>
        </w:tc>
      </w:tr>
      <w:tr>
        <w:trPr>
          <w:trHeight w:val="268"/>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 w:lineRule="exact"/>
        <w:rPr>
          <w:sz w:val="20"/>
          <w:szCs w:val="20"/>
          <w:color w:val="auto"/>
        </w:rPr>
      </w:pPr>
    </w:p>
    <w:p>
      <w:pPr>
        <w:sectPr>
          <w:pgSz w:w="11900" w:h="16838" w:orient="portrait"/>
          <w:cols w:equalWidth="0" w:num="2">
            <w:col w:w="7680" w:space="720"/>
            <w:col w:w="28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8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(134,241)</w:t>
            </w:r>
          </w:p>
        </w:tc>
        <w:tc>
          <w:tcPr>
            <w:tcW w:w="2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399,931</w:t>
            </w: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5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(199,720)</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71,684</w:t>
            </w: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329,337</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93,567</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129,617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BENTLEY SYSTEMS, INCORPORATED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84"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spacing w:after="0" w:line="55" w:lineRule="exact"/>
        <w:rPr>
          <w:sz w:val="20"/>
          <w:szCs w:val="20"/>
          <w:color w:val="auto"/>
        </w:rPr>
      </w:pPr>
    </w:p>
    <w:p>
      <w:pPr>
        <w:jc w:val="center"/>
        <w:ind w:left="83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20320</wp:posOffset>
            </wp:positionV>
            <wp:extent cx="18084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1517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71151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Income tax refunds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paid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-130175</wp:posOffset>
            </wp:positionV>
            <wp:extent cx="711517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Cost 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71151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Deferred, non-contingent consideration, net</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Share-settled executive bonus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31750</wp:posOffset>
            </wp:positionV>
            <wp:extent cx="71151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compensation plan elective participant deferrals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r>
      <w:tr>
        <w:trPr>
          <w:trHeight w:val="486"/>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6,104</w:t>
            </w:r>
          </w:p>
        </w:tc>
        <w:tc>
          <w:tcPr>
            <w:tcW w:w="26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6,766</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5,296</w:t>
            </w:r>
          </w:p>
        </w:tc>
      </w:tr>
      <w:tr>
        <w:trPr>
          <w:trHeight w:val="499"/>
        </w:trPr>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3,500</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5,484</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4,996</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1,533</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w:t>
            </w:r>
          </w:p>
        </w:tc>
      </w:tr>
    </w:tbl>
    <w:p>
      <w:pPr>
        <w:spacing w:after="0" w:line="200" w:lineRule="exact"/>
        <w:rPr>
          <w:sz w:val="20"/>
          <w:szCs w:val="20"/>
          <w:color w:val="auto"/>
        </w:rPr>
      </w:pPr>
    </w:p>
    <w:p>
      <w:pPr>
        <w:sectPr>
          <w:pgSz w:w="11900" w:h="16838" w:orient="portrait"/>
          <w:cols w:equalWidth="0" w:num="2">
            <w:col w:w="7620" w:space="720"/>
            <w:col w:w="2840"/>
          </w:cols>
          <w:pgMar w:left="360" w:top="1440" w:right="359" w:bottom="1440" w:gutter="0" w:footer="0" w:header="0"/>
          <w:type w:val="continuous"/>
        </w:sectPr>
      </w:pP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type w:val="continuous"/>
        </w:sectPr>
      </w:pPr>
    </w:p>
    <w:bookmarkStart w:id="9" w:name="page10"/>
    <w:bookmarkEnd w:id="9"/>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BENTLEY SYSTEMS, INCORPORATED</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The accompanying unaudited consolidated financial statements include the accounts of Bentley Systems, Incorporated and its wholly-owned subsidiaries (“Bentley Systems, Incorporated” or the “Company”), and have been prepared in accordance with United States generally accepted accounting principles (“U.S. GAAP”) and in accordance with the rules and regulations of the United States Securities and Exchange Commission (“SEC”) regarding interim financial reporting. Accordingly, they do not include all the information and notes required by U.S. GAAP for annual financial statements. These unaudited consolidated financial statements should be read in conjunction with the audited consolidated financial statements and notes thereto included in the Company’s 2022 Annual Report on Form 10</w:t>
      </w:r>
      <w:r>
        <w:rPr>
          <w:rFonts w:ascii="MS PGothic" w:cs="MS PGothic" w:eastAsia="MS PGothic" w:hAnsi="MS PGothic"/>
          <w:sz w:val="17"/>
          <w:szCs w:val="17"/>
          <w:i w:val="1"/>
          <w:iCs w:val="1"/>
          <w:color w:val="auto"/>
        </w:rPr>
        <w:t>‑</w:t>
      </w:r>
      <w:r>
        <w:rPr>
          <w:rFonts w:ascii="Arial" w:cs="Arial" w:eastAsia="Arial" w:hAnsi="Arial"/>
          <w:sz w:val="17"/>
          <w:szCs w:val="17"/>
          <w:color w:val="auto"/>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U.S. GAAP requires management to make estimates and assumptions that affect reported amounts in the financial statements and accompanying notes. Actual results could differ materially from those estimates. The December 31, 2022 consolidated balance sheet included herein is derived from the Company’s audited consolidated financial statements.</w:t>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Certain reclassifications of prior period amounts have been made to conform to the current period presentation. For the three months ended March 31, 2023, payments related to the Company’s interest rate swap were recognized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statements of operations and the corresponding prior period amounts, which were previously recognized 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were reclassified to conform to the current period presentation. For the three months ended March 31, 2022, the amounts reclassified were not material, and </w:t>
      </w:r>
      <w:r>
        <w:rPr>
          <w:rFonts w:ascii="Arial" w:cs="Arial" w:eastAsia="Arial" w:hAnsi="Arial"/>
          <w:sz w:val="17"/>
          <w:szCs w:val="17"/>
          <w:i w:val="1"/>
          <w:iCs w:val="1"/>
          <w:color w:val="auto"/>
        </w:rPr>
        <w:t>Income before income taxes</w:t>
      </w:r>
      <w:r>
        <w:rPr>
          <w:rFonts w:ascii="Arial" w:cs="Arial" w:eastAsia="Arial" w:hAnsi="Arial"/>
          <w:sz w:val="17"/>
          <w:szCs w:val="17"/>
          <w:color w:val="auto"/>
        </w:rPr>
        <w:t xml:space="preserve"> and </w:t>
      </w:r>
      <w:r>
        <w:rPr>
          <w:rFonts w:ascii="Arial" w:cs="Arial" w:eastAsia="Arial" w:hAnsi="Arial"/>
          <w:sz w:val="17"/>
          <w:szCs w:val="17"/>
          <w:i w:val="1"/>
          <w:iCs w:val="1"/>
          <w:color w:val="auto"/>
        </w:rPr>
        <w:t>Net income</w:t>
      </w:r>
      <w:r>
        <w:rPr>
          <w:rFonts w:ascii="Arial" w:cs="Arial" w:eastAsia="Arial" w:hAnsi="Arial"/>
          <w:sz w:val="17"/>
          <w:szCs w:val="17"/>
          <w:color w:val="auto"/>
        </w:rPr>
        <w:t xml:space="preserve"> in the consolidated statements of operations did not change as a result of these reclassifications.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March 2020, the Financial Accounting Standards Board (“FASB”) issued Accounting Standards Update (“ASU”) No. 2020</w:t>
      </w:r>
      <w:r>
        <w:rPr>
          <w:rFonts w:ascii="MS PGothic" w:cs="MS PGothic" w:eastAsia="MS PGothic" w:hAnsi="MS PGothic"/>
          <w:sz w:val="17"/>
          <w:szCs w:val="17"/>
          <w:color w:val="auto"/>
        </w:rPr>
        <w:t>‑</w:t>
      </w:r>
      <w:r>
        <w:rPr>
          <w:rFonts w:ascii="Arial" w:cs="Arial" w:eastAsia="Arial" w:hAnsi="Arial"/>
          <w:sz w:val="17"/>
          <w:szCs w:val="17"/>
          <w:color w:val="auto"/>
        </w:rPr>
        <w:t xml:space="preserve">04, </w:t>
      </w:r>
      <w:r>
        <w:rPr>
          <w:rFonts w:ascii="Arial" w:cs="Arial" w:eastAsia="Arial" w:hAnsi="Arial"/>
          <w:sz w:val="17"/>
          <w:szCs w:val="17"/>
          <w:i w:val="1"/>
          <w:iCs w:val="1"/>
          <w:color w:val="auto"/>
        </w:rPr>
        <w:t>Reference Rate Reform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848): Facilitation of the Effects of Reference Rate Reform on Financial Reporting </w:t>
      </w:r>
      <w:r>
        <w:rPr>
          <w:rFonts w:ascii="Arial" w:cs="Arial" w:eastAsia="Arial" w:hAnsi="Arial"/>
          <w:sz w:val="17"/>
          <w:szCs w:val="17"/>
          <w:color w:val="auto"/>
        </w:rPr>
        <w:t>(“ASU 2020</w:t>
      </w:r>
      <w:r>
        <w:rPr>
          <w:rFonts w:ascii="MS PGothic" w:cs="MS PGothic" w:eastAsia="MS PGothic" w:hAnsi="MS PGothic"/>
          <w:sz w:val="17"/>
          <w:szCs w:val="17"/>
          <w:color w:val="auto"/>
        </w:rPr>
        <w:t>‑</w:t>
      </w:r>
      <w:r>
        <w:rPr>
          <w:rFonts w:ascii="Arial" w:cs="Arial" w:eastAsia="Arial" w:hAnsi="Arial"/>
          <w:sz w:val="17"/>
          <w:szCs w:val="17"/>
          <w:color w:val="auto"/>
        </w:rPr>
        <w:t>04”), which provides optional expedients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exceptions for applying U.S. GAAP to contracts, hedging relationships, and other transactions affected by reference rate reform if certain criteria are met. ASU 2020</w:t>
      </w:r>
      <w:r>
        <w:rPr>
          <w:rFonts w:ascii="MS PGothic" w:cs="MS PGothic" w:eastAsia="MS PGothic" w:hAnsi="MS PGothic"/>
          <w:sz w:val="17"/>
          <w:szCs w:val="17"/>
          <w:color w:val="auto"/>
        </w:rPr>
        <w:t>‑</w:t>
      </w:r>
      <w:r>
        <w:rPr>
          <w:rFonts w:ascii="Arial" w:cs="Arial" w:eastAsia="Arial" w:hAnsi="Arial"/>
          <w:sz w:val="17"/>
          <w:szCs w:val="17"/>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In December 2022, the FASB issued ASU No. 2022</w:t>
      </w:r>
      <w:r>
        <w:rPr>
          <w:rFonts w:ascii="MS PGothic" w:cs="MS PGothic" w:eastAsia="MS PGothic" w:hAnsi="MS PGothic"/>
          <w:sz w:val="17"/>
          <w:szCs w:val="17"/>
          <w:color w:val="auto"/>
        </w:rPr>
        <w:t>‑</w:t>
      </w:r>
      <w:r>
        <w:rPr>
          <w:rFonts w:ascii="Arial" w:cs="Arial" w:eastAsia="Arial" w:hAnsi="Arial"/>
          <w:sz w:val="17"/>
          <w:szCs w:val="17"/>
          <w:color w:val="auto"/>
        </w:rPr>
        <w:t xml:space="preserve">06, </w:t>
      </w:r>
      <w:r>
        <w:rPr>
          <w:rFonts w:ascii="Arial" w:cs="Arial" w:eastAsia="Arial" w:hAnsi="Arial"/>
          <w:sz w:val="17"/>
          <w:szCs w:val="17"/>
          <w:i w:val="1"/>
          <w:iCs w:val="1"/>
          <w:color w:val="auto"/>
        </w:rPr>
        <w:t>Reference Rate Reform (Topic 848): Deferral of the Sunset Date of Topic 848</w:t>
      </w:r>
      <w:r>
        <w:rPr>
          <w:rFonts w:ascii="Arial" w:cs="Arial" w:eastAsia="Arial" w:hAnsi="Arial"/>
          <w:sz w:val="17"/>
          <w:szCs w:val="17"/>
          <w:color w:val="auto"/>
        </w:rPr>
        <w:t>, which provides optional guidance to ease the potential burden in accounting for (or recognizing the effects of) reference rate reform on financial reporting by extending the sunset date of Topic 848 to December 31, 2024. The expedients and exceptions provided by these ASUs do not apply to contract modifications made and hedging relationships entered into or evaluated after December 31, 2024, except for hedging relationships existing as of December 31, 2024, that an entity has elected certain optional expedients for and that are retained through the end of the hedging relationship. The Company had no transactions that were impacted by these ASUs during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 xml:space="preserve">Enterprise subscriptions </w:t>
            </w:r>
            <w:r>
              <w:rPr>
                <w:rFonts w:ascii="Arial" w:cs="Arial" w:eastAsia="Arial" w:hAnsi="Arial"/>
                <w:sz w:val="23"/>
                <w:szCs w:val="23"/>
                <w:color w:val="auto"/>
                <w:vertAlign w:val="superscript"/>
              </w:rPr>
              <w:t>(1)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103,904</w:t>
            </w:r>
          </w:p>
        </w:tc>
        <w:tc>
          <w:tcPr>
            <w:tcW w:w="260" w:type="dxa"/>
            <w:vAlign w:val="bottom"/>
          </w:tcPr>
          <w:p>
            <w:pPr>
              <w:spacing w:after="0"/>
              <w:rPr>
                <w:sz w:val="23"/>
                <w:szCs w:val="23"/>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81,827</w:t>
            </w:r>
          </w:p>
        </w:tc>
      </w:tr>
      <w:tr>
        <w:trPr>
          <w:trHeight w:val="27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SELECT subscriptions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63,343</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66,598</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Term license subscriptions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110,598</w:t>
            </w:r>
          </w:p>
        </w:tc>
        <w:tc>
          <w:tcPr>
            <w:tcW w:w="26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92,808</w:t>
            </w:r>
          </w:p>
        </w:tc>
      </w:tr>
      <w:tr>
        <w:trPr>
          <w:trHeight w:val="250"/>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277,845</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241,233</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Perpetual licenses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26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r>
      <w:tr>
        <w:trPr>
          <w:trHeight w:val="250"/>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 and licenses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287,392</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251,438</w:t>
            </w: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7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Recurring</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22,841</w:t>
            </w:r>
          </w:p>
        </w:tc>
        <w:tc>
          <w:tcPr>
            <w:tcW w:w="26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19,378</w:t>
            </w:r>
          </w:p>
        </w:tc>
      </w:tr>
      <w:tr>
        <w:trPr>
          <w:trHeight w:val="250"/>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27,019</w:t>
            </w:r>
          </w:p>
        </w:tc>
        <w:tc>
          <w:tcPr>
            <w:tcW w:w="26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24,079</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314,411</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275,517</w:t>
            </w:r>
          </w:p>
        </w:tc>
      </w:tr>
      <w:tr>
        <w:trPr>
          <w:trHeight w:val="20"/>
        </w:trPr>
        <w:tc>
          <w:tcPr>
            <w:tcW w:w="3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25" w:lineRule="exact"/>
        <w:rPr>
          <w:sz w:val="20"/>
          <w:szCs w:val="20"/>
          <w:color w:val="auto"/>
        </w:rPr>
      </w:pPr>
    </w:p>
    <w:p>
      <w:pPr>
        <w:ind w:left="340" w:hanging="332"/>
        <w:spacing w:after="0" w:line="29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Enterprise subscriptions includes revenue attributable to Enterprise 365 (“E365”) subscriptions of $94,331 and $68,598 for the three months ended March 31, 2023 and 2022, respectively.</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recognizes perpetual licenses and the term license component of subscriptions as revenue when either the licenses are delivered or at the start of the subscription term. For the three months ended March 31, 2023 and 2022, the Company recognized $158,024 and $125,225 of license related revenues, respectively, of which $148,477 and $115,020, respectively, were attributable to the term license component of the Company’s subscription based commercial offerings recorded in </w:t>
      </w:r>
      <w:r>
        <w:rPr>
          <w:rFonts w:ascii="Arial" w:cs="Arial" w:eastAsia="Arial" w:hAnsi="Arial"/>
          <w:sz w:val="17"/>
          <w:szCs w:val="17"/>
          <w:i w:val="1"/>
          <w:iCs w:val="1"/>
          <w:color w:val="auto"/>
        </w:rPr>
        <w:t>Subscriptions</w:t>
      </w:r>
      <w:r>
        <w:rPr>
          <w:rFonts w:ascii="Arial" w:cs="Arial" w:eastAsia="Arial" w:hAnsi="Arial"/>
          <w:sz w:val="17"/>
          <w:szCs w:val="17"/>
          <w:color w:val="auto"/>
        </w:rPr>
        <w:t xml:space="preserve"> in the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derived 7% of its total revenues through channel partners for the three months ended March 31, 2023 and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external customers is attributed to individual countries based upon the location of the customer. Revenues by geographic region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2022</w:t>
            </w:r>
          </w:p>
        </w:tc>
      </w:tr>
      <w:tr>
        <w:trPr>
          <w:trHeight w:val="226"/>
        </w:trPr>
        <w:tc>
          <w:tcPr>
            <w:tcW w:w="78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168,345</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154,260</w:t>
            </w: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Europe, the Middle East, and Africa (“EMEA”)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92,832</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77,480</w:t>
            </w: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Asia-Pacific (“APAC”)</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53,234</w:t>
            </w:r>
          </w:p>
        </w:tc>
        <w:tc>
          <w:tcPr>
            <w:tcW w:w="2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43,777</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314,411</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275,517</w:t>
            </w:r>
          </w:p>
        </w:tc>
      </w:tr>
      <w:tr>
        <w:trPr>
          <w:trHeight w:val="20"/>
        </w:trPr>
        <w:tc>
          <w:tcPr>
            <w:tcW w:w="3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25" w:lineRule="exact"/>
        <w:rPr>
          <w:sz w:val="20"/>
          <w:szCs w:val="20"/>
          <w:color w:val="auto"/>
        </w:rPr>
      </w:pPr>
    </w:p>
    <w:p>
      <w:pPr>
        <w:ind w:left="340" w:hanging="332"/>
        <w:spacing w:after="0" w:line="29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Americas includes the United States (“U.S.”), Canada, and Latin America (including the Caribbean). Revenue attributable to the U.S. totaled $127,450 and $116,133 for the three months ended March 31, 2023 and 2022,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2023</w:t>
            </w:r>
          </w:p>
        </w:tc>
        <w:tc>
          <w:tcPr>
            <w:tcW w:w="220" w:type="dxa"/>
            <w:vAlign w:val="bottom"/>
          </w:tcPr>
          <w:p>
            <w:pPr>
              <w:spacing w:after="0"/>
              <w:rPr>
                <w:sz w:val="18"/>
                <w:szCs w:val="18"/>
                <w:color w:val="auto"/>
              </w:rPr>
            </w:pPr>
          </w:p>
        </w:tc>
        <w:tc>
          <w:tcPr>
            <w:tcW w:w="1720" w:type="dxa"/>
            <w:vAlign w:val="bottom"/>
          </w:tcPr>
          <w:p>
            <w:pPr>
              <w:jc w:val="right"/>
              <w:ind w:right="233"/>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250,747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243,073</w:t>
            </w:r>
          </w:p>
        </w:tc>
      </w:tr>
    </w:tbl>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March 31, 2023 and December 31, 2022, the Company’s contract assets relate to performance obligations completed in advance of the right to invoice and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in the consolidated balance sheets. Contract assets were not impaired as of March 31, 2023 and December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revenues consist of billings made or payments received in advance of revenue recognition from subscriptions and services. The timing of revenue recognition may differ from the timing of billings to users.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2023, $95,979 of revenues that were included in the December 31, 2022 deferred revenues balance were recognized. There were additional deferrals of $101,577, which were primarily related to new billings and acquisitions. For the three months ended March 31, 2022, $97,005 of revenues that were included in the December 31, 2021 deferred revenues balance were recognized. There were additional deferrals of $94,522, which were primarily related to new billings and acquisitions.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of March 31, 2023 and December 31, 2022, the Company has deferred $17,753 and $17,338, respectively, related to portfolio balancing exchange rights which is included in </w:t>
      </w:r>
      <w:r>
        <w:rPr>
          <w:rFonts w:ascii="Arial" w:cs="Arial" w:eastAsia="Arial" w:hAnsi="Arial"/>
          <w:sz w:val="18"/>
          <w:szCs w:val="18"/>
          <w:i w:val="1"/>
          <w:iCs w:val="1"/>
          <w:color w:val="auto"/>
        </w:rPr>
        <w:t>Deferred revenues</w:t>
      </w:r>
      <w:r>
        <w:rPr>
          <w:rFonts w:ascii="Arial" w:cs="Arial" w:eastAsia="Arial" w:hAnsi="Arial"/>
          <w:sz w:val="18"/>
          <w:szCs w:val="18"/>
          <w:color w:val="auto"/>
        </w:rPr>
        <w:t xml:space="preserve">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contracts with customers include amounts allocated to performance obligations that will be satisfied at a later date. As of March 31, 2023, amounts allocated to these remaining performance obligations are $250,747, of which the Company expects to recognize approximately 94% over the next 12 months with the remaining amount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aggregate details of the Company’s acquisition activity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20" w:type="dxa"/>
            <w:vAlign w:val="bottom"/>
            <w:gridSpan w:val="4"/>
          </w:tcPr>
          <w:p>
            <w:pPr>
              <w:jc w:val="center"/>
              <w:ind w:left="655"/>
              <w:spacing w:after="0"/>
              <w:rPr>
                <w:sz w:val="20"/>
                <w:szCs w:val="20"/>
                <w:color w:val="auto"/>
              </w:rPr>
            </w:pPr>
            <w:r>
              <w:rPr>
                <w:rFonts w:ascii="Arial" w:cs="Arial" w:eastAsia="Arial" w:hAnsi="Arial"/>
                <w:sz w:val="16"/>
                <w:szCs w:val="16"/>
                <w:b w:val="1"/>
                <w:bCs w:val="1"/>
                <w:color w:val="auto"/>
                <w:w w:val="90"/>
              </w:rPr>
              <w:t>Acquisitions Completed during</w:t>
            </w: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80" w:type="dxa"/>
            <w:vAlign w:val="bottom"/>
            <w:gridSpan w:val="3"/>
          </w:tcPr>
          <w:p>
            <w:pPr>
              <w:jc w:val="center"/>
              <w:ind w:right="413"/>
              <w:spacing w:after="0"/>
              <w:rPr>
                <w:sz w:val="20"/>
                <w:szCs w:val="20"/>
                <w:color w:val="auto"/>
              </w:rPr>
            </w:pPr>
            <w:r>
              <w:rPr>
                <w:rFonts w:ascii="Arial" w:cs="Arial" w:eastAsia="Arial" w:hAnsi="Arial"/>
                <w:sz w:val="16"/>
                <w:szCs w:val="16"/>
                <w:b w:val="1"/>
                <w:bCs w:val="1"/>
                <w:color w:val="auto"/>
                <w:w w:val="93"/>
              </w:rPr>
              <w:t>Three Months Ended</w:t>
            </w:r>
          </w:p>
        </w:tc>
        <w:tc>
          <w:tcPr>
            <w:tcW w:w="7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right="433"/>
              <w:spacing w:after="0"/>
              <w:rPr>
                <w:sz w:val="20"/>
                <w:szCs w:val="20"/>
                <w:color w:val="auto"/>
              </w:rPr>
            </w:pPr>
            <w:r>
              <w:rPr>
                <w:rFonts w:ascii="Arial" w:cs="Arial" w:eastAsia="Arial" w:hAnsi="Arial"/>
                <w:sz w:val="16"/>
                <w:szCs w:val="16"/>
                <w:b w:val="1"/>
                <w:bCs w:val="1"/>
                <w:color w:val="auto"/>
                <w:w w:val="94"/>
              </w:rPr>
              <w:t>March 31,</w:t>
            </w:r>
          </w:p>
        </w:tc>
        <w:tc>
          <w:tcPr>
            <w:tcW w:w="72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Number of acquisitions</w:t>
            </w: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20" w:type="dxa"/>
            <w:vAlign w:val="bottom"/>
          </w:tcPr>
          <w:p>
            <w:pPr>
              <w:spacing w:after="0"/>
              <w:rPr>
                <w:sz w:val="23"/>
                <w:szCs w:val="23"/>
                <w:color w:val="auto"/>
              </w:rPr>
            </w:pPr>
          </w:p>
        </w:tc>
        <w:tc>
          <w:tcPr>
            <w:tcW w:w="7060" w:type="dxa"/>
            <w:vAlign w:val="bottom"/>
            <w:gridSpan w:val="2"/>
          </w:tcPr>
          <w:p>
            <w:pPr>
              <w:ind w:left="180"/>
              <w:spacing w:after="0"/>
              <w:rPr>
                <w:sz w:val="20"/>
                <w:szCs w:val="20"/>
                <w:color w:val="auto"/>
              </w:rPr>
            </w:pPr>
            <w:r>
              <w:rPr>
                <w:rFonts w:ascii="Arial" w:cs="Arial" w:eastAsia="Arial" w:hAnsi="Arial"/>
                <w:sz w:val="18"/>
                <w:szCs w:val="18"/>
                <w:color w:val="auto"/>
              </w:rPr>
              <w:t xml:space="preserve">Cash paid at closing </w:t>
            </w:r>
            <w:r>
              <w:rPr>
                <w:rFonts w:ascii="Arial" w:cs="Arial" w:eastAsia="Arial" w:hAnsi="Arial"/>
                <w:sz w:val="23"/>
                <w:szCs w:val="23"/>
                <w:color w:val="auto"/>
                <w:vertAlign w:val="superscript"/>
              </w:rPr>
              <w:t>(1)</w:t>
            </w:r>
          </w:p>
        </w:tc>
        <w:tc>
          <w:tcPr>
            <w:tcW w:w="1240" w:type="dxa"/>
            <w:vAlign w:val="bottom"/>
          </w:tcPr>
          <w:p>
            <w:pPr>
              <w:jc w:val="right"/>
              <w:ind w:right="1035"/>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10,299</w:t>
            </w:r>
          </w:p>
        </w:tc>
        <w:tc>
          <w:tcPr>
            <w:tcW w:w="260" w:type="dxa"/>
            <w:vAlign w:val="bottom"/>
          </w:tcPr>
          <w:p>
            <w:pPr>
              <w:spacing w:after="0"/>
              <w:rPr>
                <w:sz w:val="23"/>
                <w:szCs w:val="23"/>
                <w:color w:val="auto"/>
              </w:rPr>
            </w:pPr>
          </w:p>
        </w:tc>
        <w:tc>
          <w:tcPr>
            <w:tcW w:w="1220" w:type="dxa"/>
            <w:vAlign w:val="bottom"/>
          </w:tcPr>
          <w:p>
            <w:pPr>
              <w:jc w:val="right"/>
              <w:ind w:right="10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715,114</w:t>
            </w:r>
          </w:p>
        </w:tc>
      </w:tr>
      <w:tr>
        <w:trPr>
          <w:trHeight w:val="270"/>
        </w:trPr>
        <w:tc>
          <w:tcPr>
            <w:tcW w:w="20" w:type="dxa"/>
            <w:vAlign w:val="bottom"/>
          </w:tcPr>
          <w:p>
            <w:pPr>
              <w:spacing w:after="0"/>
              <w:rPr>
                <w:sz w:val="23"/>
                <w:szCs w:val="23"/>
                <w:color w:val="auto"/>
              </w:rPr>
            </w:pPr>
          </w:p>
        </w:tc>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acquired</w:t>
            </w:r>
          </w:p>
        </w:tc>
        <w:tc>
          <w:tcPr>
            <w:tcW w:w="1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(19,146)</w:t>
            </w:r>
          </w:p>
        </w:tc>
      </w:tr>
      <w:tr>
        <w:trPr>
          <w:trHeight w:val="223"/>
        </w:trPr>
        <w:tc>
          <w:tcPr>
            <w:tcW w:w="20" w:type="dxa"/>
            <w:vAlign w:val="bottom"/>
          </w:tcPr>
          <w:p>
            <w:pPr>
              <w:spacing w:after="0"/>
              <w:rPr>
                <w:sz w:val="19"/>
                <w:szCs w:val="19"/>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Net cash paid</w:t>
            </w:r>
          </w:p>
        </w:tc>
        <w:tc>
          <w:tcPr>
            <w:tcW w:w="1240" w:type="dxa"/>
            <w:vAlign w:val="bottom"/>
            <w:tcBorders>
              <w:top w:val="single" w:sz="8" w:color="auto"/>
              <w:bottom w:val="single" w:sz="8" w:color="auto"/>
            </w:tcBorders>
          </w:tcPr>
          <w:p>
            <w:pPr>
              <w:jc w:val="right"/>
              <w:ind w:right="1035"/>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10,299</w:t>
            </w:r>
          </w:p>
        </w:tc>
        <w:tc>
          <w:tcPr>
            <w:tcW w:w="2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695,968</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139" w:lineRule="exact"/>
        <w:rPr>
          <w:sz w:val="20"/>
          <w:szCs w:val="20"/>
          <w:color w:val="auto"/>
        </w:rPr>
      </w:pPr>
    </w:p>
    <w:p>
      <w:pPr>
        <w:ind w:left="340" w:hanging="332"/>
        <w:spacing w:after="0" w:line="275"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Of the cash paid at closing for the three months ended March 31, 2022, $3,000 was deposited into an escrow account to secure any potential indemnification and other obligations of the seller.</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31, 2022, the Company completed the acquisition of Power Line Systems (“PLS”), a leader in software for the design of overhead electric power transmission lines and their structures, for $695,968 in cash, net of cash acquired. The operating results of the acquired businesses were not material, individually or in the aggregate, to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contingent consideration from acquisitions is included in the consolidated balance sheets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2023</w:t>
            </w: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1560" w:type="dxa"/>
            <w:vAlign w:val="bottom"/>
            <w:tcBorders>
              <w:bottom w:val="single" w:sz="8" w:color="auto"/>
            </w:tcBorders>
            <w:shd w:val="clear" w:color="auto" w:fill="CCEEFF"/>
          </w:tcPr>
          <w:p>
            <w:pPr>
              <w:jc w:val="right"/>
              <w:ind w:right="135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955</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1560" w:type="dxa"/>
            <w:vAlign w:val="bottom"/>
            <w:tcBorders>
              <w:bottom w:val="single" w:sz="8" w:color="auto"/>
            </w:tcBorders>
          </w:tcPr>
          <w:p>
            <w:pPr>
              <w:jc w:val="right"/>
              <w:ind w:right="135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955</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r>
      <w:tr>
        <w:trPr>
          <w:trHeight w:val="20"/>
        </w:trPr>
        <w:tc>
          <w:tcPr>
            <w:tcW w:w="70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non-contingent consideration from acquisitions is included in the consolidated balance sheets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2023</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in the process of finalizing the purchase accounting for one acquisition completed during the three months ended March 31, 2023 and one acquisition completed during the year ended December 31, 2022.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Acquisition costs are expensed as incurred and are recorded 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in the consolidated statements of operations. For the three months ended March 31, 2023 and 2022, the Company’s acquisition expenses were $5,185 and $10,574, respectively, which include costs related to legal, accounting, valuation, insurance, general administrative, and other consulting and transaction fees. For the three months ended March 31, 2022, $9,773 of the Company’s acquisition expenses related to the acquisition of PLS.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gridSpan w:val="4"/>
          </w:tcPr>
          <w:p>
            <w:pPr>
              <w:jc w:val="right"/>
              <w:ind w:right="1231"/>
              <w:spacing w:after="0"/>
              <w:rPr>
                <w:sz w:val="20"/>
                <w:szCs w:val="20"/>
                <w:color w:val="auto"/>
              </w:rPr>
            </w:pPr>
            <w:r>
              <w:rPr>
                <w:rFonts w:ascii="Arial" w:cs="Arial" w:eastAsia="Arial" w:hAnsi="Arial"/>
                <w:sz w:val="16"/>
                <w:szCs w:val="16"/>
                <w:b w:val="1"/>
                <w:bCs w:val="1"/>
                <w:color w:val="auto"/>
              </w:rPr>
              <w:t>Acquisitions Completed in</w:t>
            </w:r>
          </w:p>
        </w:tc>
      </w:tr>
      <w:tr>
        <w:trPr>
          <w:trHeight w:val="207"/>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1860" w:type="dxa"/>
            <w:vAlign w:val="bottom"/>
          </w:tcPr>
          <w:p>
            <w:pPr>
              <w:jc w:val="right"/>
              <w:ind w:right="551"/>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6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March 31, 2023</w:t>
            </w:r>
          </w:p>
        </w:tc>
        <w:tc>
          <w:tcPr>
            <w:tcW w:w="240" w:type="dxa"/>
            <w:vAlign w:val="bottom"/>
          </w:tcPr>
          <w:p>
            <w:pPr>
              <w:spacing w:after="0"/>
              <w:rPr>
                <w:sz w:val="19"/>
                <w:szCs w:val="19"/>
                <w:color w:val="auto"/>
              </w:rPr>
            </w:pPr>
          </w:p>
        </w:tc>
        <w:tc>
          <w:tcPr>
            <w:tcW w:w="18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 2022</w:t>
            </w:r>
          </w:p>
        </w:tc>
      </w:tr>
      <w:tr>
        <w:trPr>
          <w:trHeight w:val="213"/>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2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Cash paid at closing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10,299</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763,228</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10,824</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765,098</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Assets acquired and liabilities assumed:</w:t>
            </w: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20,221</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and other current assets</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Software and technology (weighted average useful life of 3 and 5 years, respectively)</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10,608</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w w:val="97"/>
              </w:rPr>
              <w:t>Customer relationships (weighted average useful life of 6 and 10 years, respectively)</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3,900</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82,278</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Trademarks (weighted average useful life of 5 and 8 years, respectively)</w:t>
            </w:r>
          </w:p>
        </w:tc>
        <w:tc>
          <w:tcPr>
            <w:tcW w:w="2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r>
      <w:tr>
        <w:trPr>
          <w:trHeight w:val="250"/>
        </w:trPr>
        <w:tc>
          <w:tcPr>
            <w:tcW w:w="6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identifiable assets acquired excluding goodwill</w:t>
            </w: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7,833</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131,529</w:t>
            </w:r>
          </w:p>
        </w:tc>
      </w:tr>
      <w:tr>
        <w:trPr>
          <w:trHeight w:val="25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2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(3,953)</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(14,176)</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3"/>
                <w:szCs w:val="23"/>
                <w:color w:val="auto"/>
              </w:rPr>
            </w:pP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(5,745)</w:t>
            </w:r>
          </w:p>
        </w:tc>
      </w:tr>
      <w:tr>
        <w:trPr>
          <w:trHeight w:val="250"/>
        </w:trPr>
        <w:tc>
          <w:tcPr>
            <w:tcW w:w="67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26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(25,237)</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Net identifiable assets acquired excluding goodwill</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3,535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106,292</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spacing w:after="0"/>
              <w:rPr>
                <w:sz w:val="23"/>
                <w:szCs w:val="23"/>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658,806</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765,098</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working capital, other assets (liabilities), and property and equipment approximated their respective carrying values as of the acquisition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revenues were determined in accordance with the Company’s revenue recognition policies.</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Arial" w:cs="Arial" w:eastAsia="Arial" w:hAnsi="Arial"/>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Goodwill recorded in connection with the acquisitions was attributable to synergies expected to arise from cost saving opportunities, as well as future expected cash flows. The Company expects $7,289 of the goodwill recorded relating to the 2023 acquisition will be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2023</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2022</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36,216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35,717</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54,636</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14,456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14,600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109,958</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(79,467)</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(77,707)</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2023 and 2022 was $2,724 and $2,490,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Equipment Sale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2022, the Audit Committee of the Company’s Board of Directors authorized the Company to sell 50% of its interest in the Company’s aircraft at fair market value to an entity controlled by the Company’s Chief Executive Officer. The transaction was completed on February 1, 2022 for $2,380 and resulted in a gain of $2,029, which was recorded 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in the consolidated statements of operations for the three months ended March 31, 2022. Subsequent to the transaction, ongoing operating and fixed costs of the aircraft are shared on a proportional use basis subject to a cost-sharing agreement. Such costs were not material during the three months ended March 31, 2023 and 2022. The Company determined this transaction was with a related party.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Note 6: Goodwill and Other Intangible Assets</w:t>
            </w:r>
          </w:p>
        </w:tc>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9280" w:type="dxa"/>
            <w:vAlign w:val="bottom"/>
            <w:gridSpan w:val="2"/>
          </w:tcPr>
          <w:p>
            <w:pPr>
              <w:spacing w:after="0"/>
              <w:rPr>
                <w:sz w:val="20"/>
                <w:szCs w:val="20"/>
                <w:color w:val="auto"/>
              </w:rPr>
            </w:pPr>
            <w:r>
              <w:rPr>
                <w:rFonts w:ascii="Arial" w:cs="Arial" w:eastAsia="Arial" w:hAnsi="Arial"/>
                <w:sz w:val="18"/>
                <w:szCs w:val="18"/>
                <w:color w:val="auto"/>
              </w:rPr>
              <w:t>The changes in the carrying amount of goodwill are as follows:</w:t>
            </w: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9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2,237,184</w:t>
            </w:r>
          </w:p>
        </w:tc>
      </w:tr>
      <w:tr>
        <w:trPr>
          <w:trHeight w:val="270"/>
        </w:trPr>
        <w:tc>
          <w:tcPr>
            <w:tcW w:w="20" w:type="dxa"/>
            <w:vAlign w:val="bottom"/>
          </w:tcPr>
          <w:p>
            <w:pPr>
              <w:spacing w:after="0"/>
              <w:rPr>
                <w:sz w:val="23"/>
                <w:szCs w:val="23"/>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6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7,289</w:t>
            </w:r>
          </w:p>
        </w:tc>
      </w:tr>
      <w:tr>
        <w:trPr>
          <w:trHeight w:val="270"/>
        </w:trPr>
        <w:tc>
          <w:tcPr>
            <w:tcW w:w="20" w:type="dxa"/>
            <w:vAlign w:val="bottom"/>
          </w:tcPr>
          <w:p>
            <w:pPr>
              <w:spacing w:after="0"/>
              <w:rPr>
                <w:sz w:val="23"/>
                <w:szCs w:val="23"/>
                <w:color w:val="auto"/>
              </w:rPr>
            </w:pPr>
          </w:p>
        </w:tc>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r>
      <w:tr>
        <w:trPr>
          <w:trHeight w:val="270"/>
        </w:trPr>
        <w:tc>
          <w:tcPr>
            <w:tcW w:w="20" w:type="dxa"/>
            <w:vAlign w:val="bottom"/>
          </w:tcPr>
          <w:p>
            <w:pPr>
              <w:spacing w:after="0"/>
              <w:rPr>
                <w:sz w:val="23"/>
                <w:szCs w:val="23"/>
                <w:color w:val="auto"/>
              </w:rPr>
            </w:pPr>
          </w:p>
        </w:tc>
        <w:tc>
          <w:tcPr>
            <w:tcW w:w="9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adjustments</w:t>
            </w:r>
          </w:p>
        </w:tc>
        <w:tc>
          <w:tcPr>
            <w:tcW w:w="6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r>
      <w:tr>
        <w:trPr>
          <w:trHeight w:val="248"/>
        </w:trPr>
        <w:tc>
          <w:tcPr>
            <w:tcW w:w="20" w:type="dxa"/>
            <w:vAlign w:val="bottom"/>
          </w:tcPr>
          <w:p>
            <w:pPr>
              <w:spacing w:after="0"/>
              <w:rPr>
                <w:sz w:val="21"/>
                <w:szCs w:val="21"/>
                <w:color w:val="auto"/>
              </w:rPr>
            </w:pPr>
          </w:p>
        </w:tc>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2,247,797</w:t>
            </w:r>
          </w:p>
        </w:tc>
      </w:tr>
      <w:tr>
        <w:trPr>
          <w:trHeight w:val="20"/>
        </w:trPr>
        <w:tc>
          <w:tcPr>
            <w:tcW w:w="20" w:type="dxa"/>
            <w:vAlign w:val="bottom"/>
          </w:tcPr>
          <w:p>
            <w:pPr>
              <w:spacing w:after="0" w:line="20" w:lineRule="exact"/>
              <w:rPr>
                <w:sz w:val="1"/>
                <w:szCs w:val="1"/>
                <w:color w:val="auto"/>
              </w:rPr>
            </w:pPr>
          </w:p>
        </w:tc>
        <w:tc>
          <w:tcPr>
            <w:tcW w:w="9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Details of intangible assets other than goodwill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7"/>
              </w:rPr>
              <w:t>March 31, 2023</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2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0"/>
              </w:rPr>
              <w:t>Gross</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4"/>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43"/>
              <w:spacing w:after="0"/>
              <w:rPr>
                <w:sz w:val="20"/>
                <w:szCs w:val="20"/>
                <w:color w:val="auto"/>
              </w:rPr>
            </w:pPr>
            <w:r>
              <w:rPr>
                <w:rFonts w:ascii="Arial" w:cs="Arial" w:eastAsia="Arial" w:hAnsi="Arial"/>
                <w:sz w:val="13"/>
                <w:szCs w:val="13"/>
                <w:b w:val="1"/>
                <w:bCs w:val="1"/>
                <w:color w:val="auto"/>
              </w:rPr>
              <w:t>Net Book</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Carrying</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960" w:type="dxa"/>
            <w:vAlign w:val="bottom"/>
          </w:tcPr>
          <w:p>
            <w:pPr>
              <w:jc w:val="right"/>
              <w:ind w:right="343"/>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9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420" w:type="dxa"/>
            <w:vAlign w:val="bottom"/>
          </w:tcPr>
          <w:p>
            <w:pPr>
              <w:ind w:left="180"/>
              <w:spacing w:after="0"/>
              <w:rPr>
                <w:sz w:val="20"/>
                <w:szCs w:val="20"/>
                <w:color w:val="auto"/>
              </w:rPr>
            </w:pPr>
            <w:r>
              <w:rPr>
                <w:rFonts w:ascii="Arial" w:cs="Arial" w:eastAsia="Arial" w:hAnsi="Arial"/>
                <w:sz w:val="16"/>
                <w:szCs w:val="16"/>
                <w:color w:val="auto"/>
              </w:rPr>
              <w:t>Software and technology</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3-5 years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92,960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(54,588)</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38,372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92,390</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(51,938)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40,452</w:t>
            </w:r>
          </w:p>
        </w:tc>
        <w:tc>
          <w:tcPr>
            <w:tcW w:w="0" w:type="dxa"/>
            <w:vAlign w:val="bottom"/>
          </w:tcPr>
          <w:p>
            <w:pPr>
              <w:spacing w:after="0"/>
              <w:rPr>
                <w:sz w:val="1"/>
                <w:szCs w:val="1"/>
                <w:color w:val="auto"/>
              </w:rPr>
            </w:pPr>
          </w:p>
        </w:tc>
      </w:tr>
      <w:tr>
        <w:trPr>
          <w:trHeight w:val="246"/>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(122,414)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203,611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323,164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208,777</w:t>
            </w:r>
          </w:p>
        </w:tc>
        <w:tc>
          <w:tcPr>
            <w:tcW w:w="0" w:type="dxa"/>
            <w:vAlign w:val="bottom"/>
          </w:tcPr>
          <w:p>
            <w:pPr>
              <w:spacing w:after="0"/>
              <w:rPr>
                <w:sz w:val="1"/>
                <w:szCs w:val="1"/>
                <w:color w:val="auto"/>
              </w:rPr>
            </w:pPr>
          </w:p>
        </w:tc>
      </w:tr>
      <w:tr>
        <w:trPr>
          <w:trHeight w:val="240"/>
        </w:trPr>
        <w:tc>
          <w:tcPr>
            <w:tcW w:w="2420" w:type="dxa"/>
            <w:vAlign w:val="bottom"/>
          </w:tcPr>
          <w:p>
            <w:pPr>
              <w:ind w:left="18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70,465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(28,605)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41,860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69,803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(26,904)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42,899</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489,800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(205,831)</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283,969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485,707</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(193,436)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292,271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amortization expense for purchased intangible assets with finite lives was reflected in the Company’s consolidated statements of operations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6"/>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4"/>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7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10,548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7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Investments</w:t>
            </w:r>
          </w:p>
        </w:tc>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1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Arial" w:cs="Arial" w:eastAsia="Arial" w:hAnsi="Arial"/>
                <w:sz w:val="18"/>
                <w:szCs w:val="18"/>
                <w:color w:val="auto"/>
              </w:rPr>
              <w:t>Investments consist of the following:</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Borders>
              <w:bottom w:val="single" w:sz="8" w:color="CCEEFF"/>
            </w:tcBorders>
          </w:tcPr>
          <w:p>
            <w:pPr>
              <w:spacing w:after="0"/>
              <w:rPr>
                <w:sz w:val="24"/>
                <w:szCs w:val="24"/>
                <w:color w:val="auto"/>
              </w:rPr>
            </w:pPr>
          </w:p>
        </w:tc>
        <w:tc>
          <w:tcPr>
            <w:tcW w:w="7080" w:type="dxa"/>
            <w:vAlign w:val="bottom"/>
            <w:tcBorders>
              <w:bottom w:val="single" w:sz="8" w:color="CCEEFF"/>
            </w:tcBorders>
          </w:tcPr>
          <w:p>
            <w:pPr>
              <w:spacing w:after="0"/>
              <w:rPr>
                <w:sz w:val="24"/>
                <w:szCs w:val="24"/>
                <w:color w:val="auto"/>
              </w:rPr>
            </w:pPr>
          </w:p>
        </w:tc>
        <w:tc>
          <w:tcPr>
            <w:tcW w:w="19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6"/>
                <w:szCs w:val="16"/>
                <w:b w:val="1"/>
                <w:bCs w:val="1"/>
                <w:color w:val="auto"/>
              </w:rPr>
              <w:t>March 31, 2023</w:t>
            </w: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6"/>
                <w:szCs w:val="16"/>
                <w:b w:val="1"/>
                <w:bCs w:val="1"/>
                <w:color w:val="auto"/>
                <w:w w:val="97"/>
              </w:rPr>
              <w:t>December 31, 2022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31,914</w:t>
            </w:r>
          </w:p>
        </w:tc>
        <w:tc>
          <w:tcPr>
            <w:tcW w:w="2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method investments</w:t>
            </w: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Through its </w:t>
      </w:r>
      <w:r>
        <w:rPr>
          <w:rFonts w:ascii="Arial" w:cs="Arial" w:eastAsia="Arial" w:hAnsi="Arial"/>
          <w:sz w:val="18"/>
          <w:szCs w:val="18"/>
          <w:i w:val="1"/>
          <w:iCs w:val="1"/>
          <w:color w:val="auto"/>
        </w:rPr>
        <w:t>iTwin Ventures</w:t>
      </w:r>
      <w:r>
        <w:rPr>
          <w:rFonts w:ascii="Arial" w:cs="Arial" w:eastAsia="Arial" w:hAnsi="Arial"/>
          <w:sz w:val="18"/>
          <w:szCs w:val="18"/>
          <w:color w:val="auto"/>
        </w:rPr>
        <w:t xml:space="preserve"> initiative, the Company invests in technology development companies, generally in the form of equity interests or convertible notes. In March 2023, the Company acquired an equity interest in Worldsensing, a leading global connectivity hardware platform company for infrastructure monitoring, via contribution of its sensemetrics’ Thread connectivity device business (the “Thread business”) and cash. The non-cash contribution of the Thread business resulted in an insignificant gain, which was recorded in </w:t>
      </w:r>
      <w:r>
        <w:rPr>
          <w:rFonts w:ascii="Arial" w:cs="Arial" w:eastAsia="Arial" w:hAnsi="Arial"/>
          <w:sz w:val="18"/>
          <w:szCs w:val="18"/>
          <w:i w:val="1"/>
          <w:iCs w:val="1"/>
          <w:color w:val="auto"/>
        </w:rPr>
        <w:t>Other income, net</w:t>
      </w:r>
      <w:r>
        <w:rPr>
          <w:rFonts w:ascii="Arial" w:cs="Arial" w:eastAsia="Arial" w:hAnsi="Arial"/>
          <w:sz w:val="18"/>
          <w:szCs w:val="18"/>
          <w:color w:val="auto"/>
        </w:rPr>
        <w:t xml:space="preserve"> in the consolidated statements of operations for the three months ended March 31, 2023. In July 2022, the Company acquired an equity interest in Teralytics Holdings AG, a global platform company for human mobility analysis.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2023, the Company invested a total of $9,678, including $8,928 of cash and non-cash for our investment in Worldsensing. During the three months ended March 31, 2022, the Company invested a total of $2,111. As of March 31, 2023, our investment balance in Worldsensing and Teralytics Holdings AG was $8,928 and $11,130, respectively. As of December 31, 2022, our investment balance in Teralytics Holdings AG was $11,130.</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operating leases consist of office facilities, office equipment, and automobiles. As of March 31, 2023, the Company’s leases have remaining terms of less than one year to eight years, some of which include one or more options to renew, with renewal terms from one year to ten years and some of which include options to terminate the leases from less than one year to five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cost reflected in the consolidated statements of operations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6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9"/>
              </w:rPr>
              <w:t>2022</w:t>
            </w:r>
          </w:p>
        </w:tc>
      </w:tr>
      <w:tr>
        <w:trPr>
          <w:trHeight w:val="226"/>
        </w:trPr>
        <w:tc>
          <w:tcPr>
            <w:tcW w:w="78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w:t>
            </w: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1,202</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Total operating lease cost</w:t>
            </w:r>
          </w:p>
        </w:tc>
        <w:tc>
          <w:tcPr>
            <w:tcW w:w="94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7,031</w:t>
            </w:r>
          </w:p>
        </w:tc>
      </w:tr>
      <w:tr>
        <w:trPr>
          <w:trHeight w:val="21"/>
        </w:trPr>
        <w:tc>
          <w:tcPr>
            <w:tcW w:w="3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25" w:lineRule="exact"/>
        <w:rPr>
          <w:sz w:val="20"/>
          <w:szCs w:val="20"/>
          <w:color w:val="auto"/>
        </w:rPr>
      </w:pPr>
    </w:p>
    <w:p>
      <w:pPr>
        <w:ind w:left="340" w:hanging="332"/>
        <w:spacing w:after="0" w:line="293"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Operating lease cost includes rent cost related to operating leases for office facilities of $4,417 and $5,553 for the three months ended March 31, 2023 and 2022,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Supplemental operating cash flow and other information related to leases </w:t>
      </w:r>
      <w:r>
        <w:rPr>
          <w:rFonts w:ascii="Arial" w:cs="Arial" w:eastAsia="Arial" w:hAnsi="Arial"/>
          <w:sz w:val="18"/>
          <w:szCs w:val="18"/>
          <w:color w:val="212529"/>
        </w:rPr>
        <w:t>was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40" w:type="dxa"/>
            <w:vAlign w:val="bottom"/>
          </w:tcPr>
          <w:p>
            <w:pPr>
              <w:spacing w:after="0"/>
              <w:rPr>
                <w:sz w:val="18"/>
                <w:szCs w:val="18"/>
                <w:color w:val="auto"/>
              </w:rPr>
            </w:pPr>
          </w:p>
        </w:tc>
      </w:tr>
      <w:tr>
        <w:trPr>
          <w:trHeight w:val="219"/>
        </w:trPr>
        <w:tc>
          <w:tcPr>
            <w:tcW w:w="78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w w:val="84"/>
              </w:rPr>
              <w:t>2022</w:t>
            </w:r>
          </w:p>
        </w:tc>
      </w:tr>
      <w:tr>
        <w:trPr>
          <w:trHeight w:val="25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leases included in operating cash flows</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w:t>
            </w:r>
          </w:p>
        </w:tc>
      </w:tr>
      <w:tr>
        <w:trPr>
          <w:trHeight w:val="312"/>
        </w:trPr>
        <w:tc>
          <w:tcPr>
            <w:tcW w:w="7820" w:type="dxa"/>
            <w:vAlign w:val="bottom"/>
          </w:tcPr>
          <w:p>
            <w:pPr>
              <w:ind w:left="20"/>
              <w:spacing w:after="0"/>
              <w:rPr>
                <w:sz w:val="20"/>
                <w:szCs w:val="20"/>
                <w:color w:val="auto"/>
              </w:rPr>
            </w:pPr>
            <w:r>
              <w:rPr>
                <w:rFonts w:ascii="Arial" w:cs="Arial" w:eastAsia="Arial" w:hAnsi="Arial"/>
                <w:sz w:val="18"/>
                <w:szCs w:val="18"/>
                <w:color w:val="auto"/>
              </w:rPr>
              <w:t xml:space="preserve">Right-of-use assets obtained in exchange for new operating lease liabilities </w:t>
            </w:r>
            <w:r>
              <w:rPr>
                <w:rFonts w:ascii="Arial" w:cs="Arial" w:eastAsia="Arial" w:hAnsi="Arial"/>
                <w:sz w:val="23"/>
                <w:szCs w:val="23"/>
                <w:color w:val="auto"/>
                <w:vertAlign w:val="superscript"/>
              </w:rPr>
              <w:t>(1)</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2,797</w:t>
            </w:r>
          </w:p>
        </w:tc>
        <w:tc>
          <w:tcPr>
            <w:tcW w:w="260" w:type="dxa"/>
            <w:vAlign w:val="bottom"/>
          </w:tcPr>
          <w:p>
            <w:pPr>
              <w:spacing w:after="0"/>
              <w:rPr>
                <w:sz w:val="24"/>
                <w:szCs w:val="24"/>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9030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93" w:lineRule="exact"/>
        <w:rPr>
          <w:sz w:val="20"/>
          <w:szCs w:val="20"/>
          <w:color w:val="auto"/>
        </w:rPr>
      </w:pPr>
    </w:p>
    <w:p>
      <w:pPr>
        <w:ind w:left="340" w:hanging="332"/>
        <w:spacing w:after="0" w:line="204" w:lineRule="exact"/>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Right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assets obtained in exchange for new operating lease liabilities does not include the impact from acquisitions of $345 and $1,237 for the three months ended March 31, 2023 and 2022,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for operating leases was 3.8 years and 3.9 years as of March 31, 2023 and December 31,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discount rate was 3.6% and 3.4% as of March 31, 2023 and December 31, 2022, respectively.</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2023, the Company had additional minimum operating lease payments of $1,196 for executed leases that have not yet commenced, primarily for office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Accruals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Accruals and other current liabilities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2023</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2022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Cloud Services Subscription (“CSS”) deposits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263,975</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41,253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35,493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39,467</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Due to customers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14,666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13,720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indirect taxes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Accrued acquisition stay bonus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7,384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cloud provisioning costs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3,353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Employee stock purchase plan contributions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2,785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plan liabilities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955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29,591</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Total accruals and other current liabilities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420,935</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362,048</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10: Long-Term Debt</w:t>
            </w: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consists of the following:</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2023</w:t>
            </w:r>
          </w:p>
        </w:tc>
        <w:tc>
          <w:tcPr>
            <w:tcW w:w="220" w:type="dxa"/>
            <w:vAlign w:val="bottom"/>
          </w:tcPr>
          <w:p>
            <w:pPr>
              <w:spacing w:after="0"/>
              <w:rPr>
                <w:sz w:val="24"/>
                <w:szCs w:val="24"/>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Revolving loan facility due November 2025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239,613</w:t>
            </w:r>
          </w:p>
        </w:tc>
        <w:tc>
          <w:tcPr>
            <w:tcW w:w="2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345,597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Term loan due November 2025</w:t>
            </w: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193,750</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Convertible senior notes due January 2026 (the “2026 Notes”)</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687,830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687,830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due July 2027 (the “2027 Notes”)</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(21,162)</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1,675,031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1,780,696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2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1,668,781</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$150 of letters of credit and surety bonds outstanding as of March 31, 2023 and December 31, 2022 under the credit facility. As of March 31, 2023 and December 31, 2022, the Company had $610,237 and $504,253, respectively, available under the credit facility.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and December 31, 2022, the Company was in compliance with all debt covenants and none of the conditions of the 2026 Notes or 2027 Notes to early convert had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consists of the following:</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Pr>
          <w:p>
            <w:pPr>
              <w:spacing w:after="0"/>
              <w:rPr>
                <w:sz w:val="18"/>
                <w:szCs w:val="18"/>
                <w:color w:val="auto"/>
              </w:rPr>
            </w:pPr>
          </w:p>
        </w:tc>
      </w:tr>
      <w:tr>
        <w:trPr>
          <w:trHeight w:val="219"/>
        </w:trPr>
        <w:tc>
          <w:tcPr>
            <w:tcW w:w="7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0"/>
        </w:trPr>
        <w:tc>
          <w:tcPr>
            <w:tcW w:w="7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4"/>
              </w:rPr>
              <w:t>2022</w:t>
            </w:r>
          </w:p>
        </w:tc>
      </w:tr>
      <w:tr>
        <w:trPr>
          <w:trHeight w:val="22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(9,310)</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Amortization of deferred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(1,823)</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(1,778)</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revolving loan facility and term loan weighted average interest rate was 6.67% and 2.32% for the three months ended March 31, 2023 and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Executive Bonus Plan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2023 and 2022, 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$7,948 and $9,719,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expense (income) was $4,146 and $(5,138) for the three months ended March 31, 2023 and 2022, respectively.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2023 and 2022, elective participant deferrals into the Company’s unfunded amended and restated Bentley Systems, Incorporated Nonqualified Deferred Compensation Plan (the “DCP”) were $1,533 and $669, respectively. No discretionary contributions were made to the DCP during the three months ended March 31, 2023 and 2022. As of March 31, 2023 and December 31, 2022, phantom shares of the Company’s Class B Common Stock issuable by the DCP were 20,231,452 and 21,587,831,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total liabilities related to the DCP is included in the consolidated balance sheets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2023</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plan liabilities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80,674</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77,014</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DCP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79,081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BSY Stock Repurchase Program</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11, 2022, the Company announced that its Board of Directors approved the BSY Stock Repurchase Program (the “Repurchase Program”) authorizing the Company to repurchase up to $200,000 of the Company’s Class B Common Stock through June 30, 2024. On December 14, 2022, the Company’s Board of Directors amended the Repurchase Program to allow the Company also to repurchase its outstanding convertible senior notes. This additional authorization did not increase the overall dollar limit of the Repurchase Program. The shares and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notes, general market and economic conditions, available liquidity, compliance with the Company’s debt and other agreements, and applicable legal requirements. The exact number of shares and/or notes to be repurchased by the Company is not guaranteed, and the Repurchase Program may be suspended, modified, or discontinued at any time without prior notice. As of March 31, 2023, $169,752 was available under the Company’s Board of Directors authorization for future repurchases of Class B Common Stock and/or outstanding convertible senior notes under the Repurchase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Issuances, Sales, and Repurchases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March 31, 2023, the Company issued 928,300 shares of Class B Common Stock to colleagues who exercised their stock options, net of 73,822 shares withheld at exercise to pay for the cost of the stock options, as well as for $1,701 of applicable income tax withholdings. The Company received $4,202 in proceeds from the exercise of stock options. For the three months ended March 31, 2022, the Company issued 1,401,249 shares of Class B Common Stock to colleagues who exercised their stock options, net of 314,659 shares withheld at exercise to pay for the cost of the stock options, as well as for $7,651 of applicable income tax withholdings. The Company received $2,768 in proceeds from the exercise of stock options.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three months ended March 31, 2022, the Company issued 149,855 shares of Class B Common Stock related to the exercise of acquisition options, net of 585,145 shares withheld at exercise to pay for the cost of the options. The Company did not receive any proceeds from the exercise of these options.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2023 and 2022, the Company issued 79,804 and 72,105 shares of Class B Common Stock, respectively, in connection with Bonus Plan incentive compensation, net of shares withheld. Of the total 143,114 shares awarded for the three months ended March 31, 2023, 63,310 shares were sold back to the Company in the same period to pay for applicable income tax withholdings of $2,425. Of the total 128,496 shares awarded for the three months ended March 31, 2022, 56,391 shares were sold back to the Company in the same period to pay for applicable income tax withholdings of $2,192.</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2023 and 2022, the Company issued 1,052,738 and 809,751 shares of Class B Common Stock, respectively, to DCP participants in connection with distributions from the plan. The distribution in shares for the three months ended March 31, 2023 totaled 1,421,471 shares of which 368,733 shares were sold back to the Company in the same period to pay for applicable income tax withholdings of $13,626. The distribution in shares for the three months ended March 31, 2022 totaled 1,310,061 shares of which 500,310 shares were sold back to the Company in the same period to pay for applicable income tax withholdings of $24,246.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declared cash dividends during the periods presented as follows: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4"/>
              </w:rPr>
              <w:t>Dividend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7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0"/>
              </w:rPr>
              <w:t>Per Share</w:t>
            </w:r>
          </w:p>
        </w:tc>
        <w:tc>
          <w:tcPr>
            <w:tcW w:w="300" w:type="dxa"/>
            <w:vAlign w:val="bottom"/>
          </w:tcPr>
          <w:p>
            <w:pPr>
              <w:spacing w:after="0"/>
              <w:rPr>
                <w:sz w:val="19"/>
                <w:szCs w:val="19"/>
                <w:color w:val="auto"/>
              </w:rPr>
            </w:pPr>
          </w:p>
        </w:tc>
        <w:tc>
          <w:tcPr>
            <w:tcW w:w="1240" w:type="dxa"/>
            <w:vAlign w:val="bottom"/>
          </w:tcPr>
          <w:p>
            <w:pPr>
              <w:jc w:val="right"/>
              <w:ind w:right="393"/>
              <w:spacing w:after="0"/>
              <w:rPr>
                <w:sz w:val="20"/>
                <w:szCs w:val="20"/>
                <w:color w:val="auto"/>
              </w:rPr>
            </w:pPr>
            <w:r>
              <w:rPr>
                <w:rFonts w:ascii="Arial" w:cs="Arial" w:eastAsia="Arial" w:hAnsi="Arial"/>
                <w:sz w:val="16"/>
                <w:szCs w:val="16"/>
                <w:b w:val="1"/>
                <w:bCs w:val="1"/>
                <w:color w:val="auto"/>
              </w:rPr>
              <w:t>Amount</w:t>
            </w:r>
          </w:p>
        </w:tc>
      </w:tr>
      <w:tr>
        <w:trPr>
          <w:trHeight w:val="213"/>
        </w:trPr>
        <w:tc>
          <w:tcPr>
            <w:tcW w:w="7840" w:type="dxa"/>
            <w:vAlign w:val="bottom"/>
            <w:tcBorders>
              <w:top w:val="single" w:sz="8" w:color="CCEEFF"/>
            </w:tcBorders>
            <w:shd w:val="clear" w:color="auto" w:fill="CCEEFF"/>
          </w:tcPr>
          <w:p>
            <w:pPr>
              <w:jc w:val="right"/>
              <w:ind w:right="7310"/>
              <w:spacing w:after="0"/>
              <w:rPr>
                <w:sz w:val="20"/>
                <w:szCs w:val="20"/>
                <w:color w:val="auto"/>
              </w:rPr>
            </w:pPr>
            <w:r>
              <w:rPr>
                <w:rFonts w:ascii="Arial" w:cs="Arial" w:eastAsia="Arial" w:hAnsi="Arial"/>
                <w:sz w:val="18"/>
                <w:szCs w:val="18"/>
                <w:b w:val="1"/>
                <w:bCs w:val="1"/>
                <w:color w:val="auto"/>
                <w:w w:val="91"/>
              </w:rPr>
              <w:t>2023:</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70"/>
        </w:trPr>
        <w:tc>
          <w:tcPr>
            <w:tcW w:w="7840" w:type="dxa"/>
            <w:vAlign w:val="bottom"/>
          </w:tcPr>
          <w:p>
            <w:pPr>
              <w:jc w:val="right"/>
              <w:ind w:right="669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14,522</w:t>
            </w:r>
          </w:p>
        </w:tc>
      </w:tr>
      <w:tr>
        <w:trPr>
          <w:trHeight w:val="229"/>
        </w:trPr>
        <w:tc>
          <w:tcPr>
            <w:tcW w:w="7840" w:type="dxa"/>
            <w:vAlign w:val="bottom"/>
            <w:shd w:val="clear" w:color="auto" w:fill="CCEEFF"/>
          </w:tcPr>
          <w:p>
            <w:pPr>
              <w:jc w:val="right"/>
              <w:ind w:right="7310"/>
              <w:spacing w:after="0"/>
              <w:rPr>
                <w:sz w:val="20"/>
                <w:szCs w:val="20"/>
                <w:color w:val="auto"/>
              </w:rPr>
            </w:pPr>
            <w:r>
              <w:rPr>
                <w:rFonts w:ascii="Arial" w:cs="Arial" w:eastAsia="Arial" w:hAnsi="Arial"/>
                <w:sz w:val="18"/>
                <w:szCs w:val="18"/>
                <w:b w:val="1"/>
                <w:bCs w:val="1"/>
                <w:color w:val="auto"/>
                <w:w w:val="91"/>
              </w:rPr>
              <w:t>2022:</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70"/>
        </w:trPr>
        <w:tc>
          <w:tcPr>
            <w:tcW w:w="7840" w:type="dxa"/>
            <w:vAlign w:val="bottom"/>
          </w:tcPr>
          <w:p>
            <w:pPr>
              <w:jc w:val="right"/>
              <w:ind w:right="6690"/>
              <w:spacing w:after="0"/>
              <w:rPr>
                <w:sz w:val="20"/>
                <w:szCs w:val="20"/>
                <w:color w:val="auto"/>
              </w:rPr>
            </w:pPr>
            <w:r>
              <w:rPr>
                <w:rFonts w:ascii="Arial" w:cs="Arial" w:eastAsia="Arial" w:hAnsi="Arial"/>
                <w:sz w:val="18"/>
                <w:szCs w:val="18"/>
                <w:color w:val="auto"/>
              </w:rPr>
              <w:t>First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8,353</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Employee Stock Purchase Plan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During the three months ended March 31, 2023, colleagues who elected to participate in the Bentley Systems, Incorporated Global Employee Stock Purchase Plan (the “ESPP”) purchased a total of 153,381 shares of Class B Common Stock, net of shares withheld, resulting in cash proceeds to the Company of $4,557. Of the total 159,377 shares purchased, 5,996 shares were sold back to the Company to pay for applicable income tax withholdings of $222. During the three months ended March 31, 2022, colleagues who elected to participate in the ESPP purchased a total of 109,749 shares of Class B Common Stock, net of shares withheld, resulting in cash proceeds to the Company of $4,611. Of the total 112,249 shares purchased, 2,500 shares were sold back to the Company to pay for applicable income tax withholdings of $121. As of March 31, 2023 and December 31, 2022, $2,785 and $5,230 of ESPP withholdings via colleague payroll deduction were recorded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sheets, respectively. As of March 31, 2023, shares of Class B Common Stock available for future issuance under the ESPP were 24,434,497.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consists of the following during the three months ended March 31, 2023 and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(89,408)</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(89,740)</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(90,867)</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(91,774)</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16,437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16,455</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16,437</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16,450</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(75,324)</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Stock-Based Compensation</w:t>
      </w:r>
    </w:p>
    <w:p>
      <w:pPr>
        <w:spacing w:after="0" w:line="22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6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2022</w:t>
            </w:r>
          </w:p>
        </w:tc>
      </w:tr>
      <w:tr>
        <w:trPr>
          <w:trHeight w:val="253"/>
        </w:trPr>
        <w:tc>
          <w:tcPr>
            <w:tcW w:w="40" w:type="dxa"/>
            <w:vAlign w:val="bottom"/>
          </w:tcPr>
          <w:p>
            <w:pPr>
              <w:spacing w:after="0"/>
              <w:rPr>
                <w:sz w:val="21"/>
                <w:szCs w:val="21"/>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and restricted stock units (“RSUs”) expense</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13,923</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r>
      <w:tr>
        <w:trPr>
          <w:trHeight w:val="229"/>
        </w:trPr>
        <w:tc>
          <w:tcPr>
            <w:tcW w:w="4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Bonus Plan expense (see Note 11)</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4,546</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8,161</w:t>
            </w:r>
          </w:p>
        </w:tc>
      </w:tr>
      <w:tr>
        <w:trPr>
          <w:trHeight w:val="230"/>
        </w:trPr>
        <w:tc>
          <w:tcPr>
            <w:tcW w:w="40" w:type="dxa"/>
            <w:vAlign w:val="bottom"/>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ESPP expense (see Note 13)</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29"/>
        </w:trPr>
        <w:tc>
          <w:tcPr>
            <w:tcW w:w="4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Stock option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343</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0"/>
        </w:trPr>
        <w:tc>
          <w:tcPr>
            <w:tcW w:w="40" w:type="dxa"/>
            <w:vAlign w:val="bottom"/>
          </w:tcPr>
          <w:p>
            <w:pPr>
              <w:spacing w:after="0"/>
              <w:rPr>
                <w:sz w:val="23"/>
                <w:szCs w:val="23"/>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DCP elective participant deferrals expense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(see Note 12)</w:t>
            </w:r>
          </w:p>
        </w:tc>
        <w:tc>
          <w:tcPr>
            <w:tcW w:w="9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40" w:type="dxa"/>
            <w:vAlign w:val="bottom"/>
          </w:tcPr>
          <w:p>
            <w:pPr>
              <w:spacing w:after="0"/>
              <w:rPr>
                <w:sz w:val="19"/>
                <w:szCs w:val="19"/>
                <w:color w:val="auto"/>
              </w:rPr>
            </w:pPr>
          </w:p>
        </w:tc>
        <w:tc>
          <w:tcPr>
            <w:tcW w:w="780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Total stock-based compensation expense </w:t>
            </w:r>
            <w:r>
              <w:rPr>
                <w:rFonts w:ascii="Arial" w:cs="Arial" w:eastAsia="Arial" w:hAnsi="Arial"/>
                <w:sz w:val="23"/>
                <w:szCs w:val="23"/>
                <w:color w:val="auto"/>
                <w:vertAlign w:val="superscript"/>
              </w:rPr>
              <w:t>(2)</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19,484</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15,099</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9"/>
        </w:trPr>
        <w:tc>
          <w:tcPr>
            <w:tcW w:w="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2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DCP elective participant deferrals expense excludes deferred incentive bonus payable pursuant to the Bonus Plan.</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As of March 31, 2023 and December 31, 2022, $5,213 and $7,300 remained in </w:t>
      </w:r>
      <w:r>
        <w:rPr>
          <w:rFonts w:ascii="Arial" w:cs="Arial" w:eastAsia="Arial" w:hAnsi="Arial"/>
          <w:sz w:val="14"/>
          <w:szCs w:val="14"/>
          <w:i w:val="1"/>
          <w:iCs w:val="1"/>
          <w:color w:val="auto"/>
        </w:rPr>
        <w:t>Accruals and other current liabilities</w:t>
      </w:r>
      <w:r>
        <w:rPr>
          <w:rFonts w:ascii="Arial" w:cs="Arial" w:eastAsia="Arial" w:hAnsi="Arial"/>
          <w:sz w:val="14"/>
          <w:szCs w:val="14"/>
          <w:color w:val="auto"/>
        </w:rPr>
        <w:t xml:space="preserve"> in the consolidated balance sheets, respectively.</w:t>
      </w:r>
    </w:p>
    <w:p>
      <w:pPr>
        <w:spacing w:after="0" w:line="24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included in the consolidated statements of operations as follows: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60" w:type="dxa"/>
            <w:vAlign w:val="bottom"/>
          </w:tcPr>
          <w:p>
            <w:pPr>
              <w:spacing w:after="0"/>
              <w:rPr>
                <w:sz w:val="18"/>
                <w:szCs w:val="18"/>
                <w:color w:val="auto"/>
              </w:rPr>
            </w:pPr>
          </w:p>
        </w:tc>
      </w:tr>
      <w:tr>
        <w:trPr>
          <w:trHeight w:val="219"/>
        </w:trPr>
        <w:tc>
          <w:tcPr>
            <w:tcW w:w="78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r>
      <w:tr>
        <w:trPr>
          <w:trHeight w:val="210"/>
        </w:trPr>
        <w:tc>
          <w:tcPr>
            <w:tcW w:w="78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2022</w:t>
            </w:r>
          </w:p>
        </w:tc>
      </w:tr>
      <w:tr>
        <w:trPr>
          <w:trHeight w:val="22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subscriptions and licenses</w:t>
            </w:r>
          </w:p>
        </w:tc>
        <w:tc>
          <w:tcPr>
            <w:tcW w:w="94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Cost of services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1,007</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Selling and marketing</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2,870</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1,454</w:t>
            </w:r>
          </w:p>
        </w:tc>
      </w:tr>
      <w:tr>
        <w:trPr>
          <w:trHeight w:val="23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w:t>
            </w:r>
          </w:p>
        </w:tc>
        <w:tc>
          <w:tcPr>
            <w:tcW w:w="2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w:t>
            </w:r>
          </w:p>
        </w:tc>
      </w:tr>
      <w:tr>
        <w:trPr>
          <w:trHeight w:val="223"/>
        </w:trPr>
        <w:tc>
          <w:tcPr>
            <w:tcW w:w="78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19,484</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15,099</w:t>
            </w:r>
          </w:p>
        </w:tc>
      </w:tr>
      <w:tr>
        <w:trPr>
          <w:trHeight w:val="20"/>
        </w:trPr>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which is generally the vesting period. Specifically for performance</w:t>
      </w:r>
      <w:r>
        <w:rPr>
          <w:rFonts w:ascii="MS PGothic" w:cs="MS PGothic" w:eastAsia="MS PGothic" w:hAnsi="MS PGothic"/>
          <w:sz w:val="18"/>
          <w:szCs w:val="18"/>
          <w:color w:val="auto"/>
        </w:rPr>
        <w:t>‑</w:t>
      </w:r>
      <w:r>
        <w:rPr>
          <w:rFonts w:ascii="Arial" w:cs="Arial" w:eastAsia="Arial" w:hAnsi="Arial"/>
          <w:sz w:val="18"/>
          <w:szCs w:val="18"/>
          <w:color w:val="auto"/>
        </w:rPr>
        <w:t>based RSUs,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and related information under the Company’s applicable equity incentive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Weighted</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Remaining</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0"/>
              </w:rPr>
              <w:t>Aggregate</w:t>
            </w:r>
          </w:p>
        </w:tc>
      </w:tr>
      <w:tr>
        <w:trPr>
          <w:trHeight w:val="216"/>
        </w:trPr>
        <w:tc>
          <w:tcPr>
            <w:tcW w:w="470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6"/>
              </w:rPr>
              <w:t>Intrinsic</w:t>
            </w:r>
          </w:p>
        </w:tc>
      </w:tr>
      <w:tr>
        <w:trPr>
          <w:trHeight w:val="219"/>
        </w:trPr>
        <w:tc>
          <w:tcPr>
            <w:tcW w:w="47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Options</w:t>
            </w:r>
          </w:p>
        </w:tc>
        <w:tc>
          <w:tcPr>
            <w:tcW w:w="18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Per Share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Life (in years)</w:t>
            </w:r>
          </w:p>
        </w:tc>
        <w:tc>
          <w:tcPr>
            <w:tcW w:w="24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Arial" w:cs="Arial" w:eastAsia="Arial" w:hAnsi="Arial"/>
                <w:sz w:val="16"/>
                <w:szCs w:val="16"/>
                <w:b w:val="1"/>
                <w:bCs w:val="1"/>
                <w:color w:val="auto"/>
                <w:w w:val="93"/>
              </w:rPr>
              <w:t>Value</w:t>
            </w:r>
          </w:p>
        </w:tc>
      </w:tr>
      <w:tr>
        <w:trPr>
          <w:trHeight w:val="22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3,794,515</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(1,002,122)</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 and 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Outstanding, March 31, 2023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2,784,893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0.7</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104,084</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March 31,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2,782,393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103,991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2023 and 2022, the Company received cash proceeds of $4,202 and $2,768, respectively, related to the exercise of stock options. The total intrinsic value of stock options exercised for the three months ended March 31, 2023 and 2022 was $35,076 and $62,025,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there was no remaining unrecognized compensation expense related to unvested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Under the equity incentive plans, the Company may grant both time</w:t>
      </w:r>
      <w:r>
        <w:rPr>
          <w:rFonts w:ascii="MS PGothic" w:cs="MS PGothic" w:eastAsia="MS PGothic" w:hAnsi="MS PGothic"/>
          <w:sz w:val="18"/>
          <w:szCs w:val="18"/>
          <w:color w:val="auto"/>
        </w:rPr>
        <w:t>‑</w:t>
      </w:r>
      <w:r>
        <w:rPr>
          <w:rFonts w:ascii="Arial" w:cs="Arial" w:eastAsia="Arial" w:hAnsi="Arial"/>
          <w:sz w:val="18"/>
          <w:szCs w:val="18"/>
          <w:color w:val="auto"/>
        </w:rPr>
        <w:t>based and performance</w:t>
      </w:r>
      <w:r>
        <w:rPr>
          <w:rFonts w:ascii="MS PGothic" w:cs="MS PGothic" w:eastAsia="MS PGothic" w:hAnsi="MS PGothic"/>
          <w:sz w:val="18"/>
          <w:szCs w:val="18"/>
          <w:color w:val="auto"/>
        </w:rPr>
        <w:t>‑</w:t>
      </w:r>
      <w:r>
        <w:rPr>
          <w:rFonts w:ascii="Arial" w:cs="Arial" w:eastAsia="Arial" w:hAnsi="Arial"/>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Arial" w:cs="Arial" w:eastAsia="Arial" w:hAnsi="Arial"/>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Arial" w:cs="Arial" w:eastAsia="Arial" w:hAnsi="Arial"/>
          <w:sz w:val="18"/>
          <w:szCs w:val="18"/>
          <w:color w:val="auto"/>
        </w:rPr>
        <w:t>based awards vesting is determined by the achievement of certain business profitability and growth targets, which include growth in annualized recurring revenues (“ARR”),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and certain non</w:t>
      </w:r>
      <w:r>
        <w:rPr>
          <w:rFonts w:ascii="MS PGothic" w:cs="MS PGothic" w:eastAsia="MS PGothic" w:hAnsi="MS PGothic"/>
          <w:sz w:val="18"/>
          <w:szCs w:val="18"/>
          <w:color w:val="auto"/>
        </w:rPr>
        <w:t>‑</w:t>
      </w:r>
      <w:r>
        <w:rPr>
          <w:rFonts w:ascii="Arial" w:cs="Arial" w:eastAsia="Arial" w:hAnsi="Arial"/>
          <w:sz w:val="18"/>
          <w:szCs w:val="18"/>
          <w:color w:val="auto"/>
        </w:rPr>
        <w:t>financial performance targets. Performance targets are generally set for performance periods of one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unvested restricted stock and RSU activity and related information under the Company’s applicable equity incentive plans: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Time-</w:t>
            </w:r>
          </w:p>
        </w:tc>
        <w:tc>
          <w:tcPr>
            <w:tcW w:w="160" w:type="dxa"/>
            <w:vAlign w:val="bottom"/>
          </w:tcPr>
          <w:p>
            <w:pPr>
              <w:spacing w:after="0"/>
              <w:rPr>
                <w:sz w:val="16"/>
                <w:szCs w:val="16"/>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Performance-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Based</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Based</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Arial" w:cs="Arial" w:eastAsia="Arial" w:hAnsi="Arial"/>
                <w:sz w:val="14"/>
                <w:szCs w:val="14"/>
                <w:b w:val="1"/>
                <w:bCs w:val="1"/>
                <w:color w:val="auto"/>
                <w:w w:val="96"/>
              </w:rPr>
              <w:t>Time-</w:t>
            </w: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Arial" w:cs="Arial" w:eastAsia="Arial" w:hAnsi="Arial"/>
                <w:sz w:val="14"/>
                <w:szCs w:val="14"/>
                <w:b w:val="1"/>
                <w:bCs w:val="1"/>
                <w:color w:val="auto"/>
                <w:w w:val="85"/>
              </w:rPr>
              <w:t>Based</w:t>
            </w: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Arial" w:cs="Arial" w:eastAsia="Arial" w:hAnsi="Arial"/>
                <w:sz w:val="14"/>
                <w:szCs w:val="14"/>
                <w:b w:val="1"/>
                <w:bCs w:val="1"/>
                <w:color w:val="auto"/>
                <w:w w:val="93"/>
              </w:rPr>
              <w:t>Restricted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Grant Date</w:t>
            </w:r>
          </w:p>
        </w:tc>
        <w:tc>
          <w:tcPr>
            <w:tcW w:w="160" w:type="dxa"/>
            <w:vAlign w:val="bottom"/>
          </w:tcPr>
          <w:p>
            <w:pPr>
              <w:spacing w:after="0"/>
              <w:rPr>
                <w:sz w:val="17"/>
                <w:szCs w:val="17"/>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w w:val="97"/>
              </w:rPr>
              <w:t>Grant Date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Arial" w:cs="Arial" w:eastAsia="Arial" w:hAnsi="Arial"/>
                <w:sz w:val="14"/>
                <w:szCs w:val="14"/>
                <w:b w:val="1"/>
                <w:bCs w:val="1"/>
                <w:color w:val="auto"/>
                <w:w w:val="94"/>
              </w:rPr>
              <w:t>Stock</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Based</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Fair Value</w:t>
            </w:r>
          </w:p>
        </w:tc>
      </w:tr>
      <w:tr>
        <w:trPr>
          <w:trHeight w:val="203"/>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and RSUs</w:t>
            </w:r>
          </w:p>
        </w:tc>
        <w:tc>
          <w:tcPr>
            <w:tcW w:w="440" w:type="dxa"/>
            <w:vAlign w:val="bottom"/>
          </w:tcPr>
          <w:p>
            <w:pPr>
              <w:spacing w:after="0"/>
              <w:rPr>
                <w:sz w:val="17"/>
                <w:szCs w:val="17"/>
                <w:color w:val="auto"/>
              </w:rPr>
            </w:pPr>
          </w:p>
        </w:tc>
        <w:tc>
          <w:tcPr>
            <w:tcW w:w="1600" w:type="dxa"/>
            <w:vAlign w:val="bottom"/>
            <w:gridSpan w:val="2"/>
          </w:tcPr>
          <w:p>
            <w:pPr>
              <w:jc w:val="center"/>
              <w:ind w:right="382"/>
              <w:spacing w:after="0"/>
              <w:rPr>
                <w:sz w:val="20"/>
                <w:szCs w:val="20"/>
                <w:color w:val="auto"/>
              </w:rPr>
            </w:pPr>
            <w:r>
              <w:rPr>
                <w:rFonts w:ascii="Arial" w:cs="Arial" w:eastAsia="Arial" w:hAnsi="Arial"/>
                <w:sz w:val="14"/>
                <w:szCs w:val="14"/>
                <w:b w:val="1"/>
                <w:bCs w:val="1"/>
                <w:color w:val="auto"/>
                <w:w w:val="90"/>
              </w:rPr>
              <w:t>and RSUs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RSUs</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Per Share</w:t>
            </w:r>
          </w:p>
        </w:tc>
      </w:tr>
      <w:tr>
        <w:trPr>
          <w:trHeight w:val="26"/>
        </w:trPr>
        <w:tc>
          <w:tcPr>
            <w:tcW w:w="20" w:type="dxa"/>
            <w:vAlign w:val="bottom"/>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December 31, 2022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3,068,851</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2,706,078</w:t>
            </w:r>
          </w:p>
        </w:tc>
        <w:tc>
          <w:tcPr>
            <w:tcW w:w="440" w:type="dxa"/>
            <w:vAlign w:val="bottom"/>
            <w:shd w:val="clear" w:color="auto" w:fill="CCEEFF"/>
          </w:tcPr>
          <w:p>
            <w:pPr>
              <w:jc w:val="right"/>
              <w:ind w:right="222"/>
              <w:spacing w:after="0" w:line="136" w:lineRule="exact"/>
              <w:rPr>
                <w:sz w:val="20"/>
                <w:szCs w:val="20"/>
                <w:color w:val="auto"/>
              </w:rPr>
            </w:pPr>
            <w:r>
              <w:rPr>
                <w:rFonts w:ascii="Arial" w:cs="Arial" w:eastAsia="Arial" w:hAnsi="Arial"/>
                <w:sz w:val="12"/>
                <w:szCs w:val="12"/>
                <w:color w:val="auto"/>
                <w:w w:val="95"/>
              </w:rPr>
              <w:t>(3)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362,773</w:t>
            </w:r>
          </w:p>
        </w:tc>
        <w:tc>
          <w:tcPr>
            <w:tcW w:w="440" w:type="dxa"/>
            <w:vAlign w:val="bottom"/>
            <w:shd w:val="clear" w:color="auto" w:fill="CCEEFF"/>
          </w:tcPr>
          <w:p>
            <w:pPr>
              <w:jc w:val="right"/>
              <w:ind w:right="222"/>
              <w:spacing w:after="0" w:line="136" w:lineRule="exact"/>
              <w:rPr>
                <w:sz w:val="20"/>
                <w:szCs w:val="20"/>
                <w:color w:val="auto"/>
              </w:rPr>
            </w:pPr>
            <w:r>
              <w:rPr>
                <w:rFonts w:ascii="Arial" w:cs="Arial" w:eastAsia="Arial" w:hAnsi="Arial"/>
                <w:sz w:val="12"/>
                <w:szCs w:val="12"/>
                <w:color w:val="auto"/>
                <w:w w:val="95"/>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r>
      <w:tr>
        <w:trPr>
          <w:trHeight w:val="270"/>
        </w:trPr>
        <w:tc>
          <w:tcPr>
            <w:tcW w:w="20" w:type="dxa"/>
            <w:vAlign w:val="bottom"/>
          </w:tcPr>
          <w:p>
            <w:pPr>
              <w:spacing w:after="0"/>
              <w:rPr>
                <w:sz w:val="23"/>
                <w:szCs w:val="23"/>
                <w:color w:val="auto"/>
              </w:rPr>
            </w:pPr>
          </w:p>
        </w:tc>
        <w:tc>
          <w:tcPr>
            <w:tcW w:w="36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1,152,992</w:t>
            </w:r>
          </w:p>
        </w:tc>
        <w:tc>
          <w:tcPr>
            <w:tcW w:w="440" w:type="dxa"/>
            <w:vAlign w:val="bottom"/>
          </w:tcPr>
          <w:p>
            <w:pPr>
              <w:jc w:val="right"/>
              <w:ind w:right="222"/>
              <w:spacing w:after="0"/>
              <w:rPr>
                <w:sz w:val="20"/>
                <w:szCs w:val="20"/>
                <w:color w:val="auto"/>
              </w:rPr>
            </w:pPr>
            <w:r>
              <w:rPr>
                <w:rFonts w:ascii="Arial" w:cs="Arial" w:eastAsia="Arial" w:hAnsi="Arial"/>
                <w:sz w:val="12"/>
                <w:szCs w:val="12"/>
                <w:color w:val="auto"/>
                <w:w w:val="95"/>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962,574</w:t>
            </w: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190,418</w:t>
            </w:r>
          </w:p>
        </w:tc>
        <w:tc>
          <w:tcPr>
            <w:tcW w:w="440" w:type="dxa"/>
            <w:vAlign w:val="bottom"/>
          </w:tcPr>
          <w:p>
            <w:pPr>
              <w:jc w:val="right"/>
              <w:ind w:right="222"/>
              <w:spacing w:after="0"/>
              <w:rPr>
                <w:sz w:val="20"/>
                <w:szCs w:val="20"/>
                <w:color w:val="auto"/>
              </w:rPr>
            </w:pPr>
            <w:r>
              <w:rPr>
                <w:rFonts w:ascii="Arial" w:cs="Arial" w:eastAsia="Arial" w:hAnsi="Arial"/>
                <w:sz w:val="12"/>
                <w:szCs w:val="12"/>
                <w:color w:val="auto"/>
                <w:w w:val="95"/>
              </w:rPr>
              <w:t>(5)</w:t>
            </w:r>
          </w:p>
        </w:tc>
        <w:tc>
          <w:tcPr>
            <w:tcW w:w="16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8"/>
                <w:szCs w:val="18"/>
                <w:color w:val="auto"/>
              </w:rPr>
              <w:t>41.09</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38.93</w:t>
            </w:r>
          </w:p>
        </w:tc>
      </w:tr>
      <w:tr>
        <w:trPr>
          <w:trHeight w:val="270"/>
        </w:trPr>
        <w:tc>
          <w:tcPr>
            <w:tcW w:w="20" w:type="dxa"/>
            <w:vAlign w:val="bottom"/>
          </w:tcPr>
          <w:p>
            <w:pPr>
              <w:spacing w:after="0"/>
              <w:rPr>
                <w:sz w:val="23"/>
                <w:szCs w:val="23"/>
                <w:color w:val="auto"/>
              </w:rPr>
            </w:pPr>
          </w:p>
        </w:tc>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(370,127)</w:t>
            </w:r>
          </w:p>
        </w:tc>
        <w:tc>
          <w:tcPr>
            <w:tcW w:w="4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(212,967)</w:t>
            </w:r>
          </w:p>
        </w:tc>
        <w:tc>
          <w:tcPr>
            <w:tcW w:w="44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402"/>
              <w:spacing w:after="0"/>
              <w:rPr>
                <w:sz w:val="20"/>
                <w:szCs w:val="20"/>
                <w:color w:val="auto"/>
              </w:rPr>
            </w:pPr>
            <w:r>
              <w:rPr>
                <w:rFonts w:ascii="Arial" w:cs="Arial" w:eastAsia="Arial" w:hAnsi="Arial"/>
                <w:sz w:val="18"/>
                <w:szCs w:val="18"/>
                <w:color w:val="auto"/>
              </w:rPr>
              <w:t>(157,160)</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r>
      <w:tr>
        <w:trPr>
          <w:trHeight w:val="270"/>
        </w:trPr>
        <w:tc>
          <w:tcPr>
            <w:tcW w:w="20" w:type="dxa"/>
            <w:vAlign w:val="bottom"/>
          </w:tcPr>
          <w:p>
            <w:pPr>
              <w:spacing w:after="0"/>
              <w:rPr>
                <w:sz w:val="23"/>
                <w:szCs w:val="23"/>
                <w:color w:val="auto"/>
              </w:rPr>
            </w:pPr>
          </w:p>
        </w:tc>
        <w:tc>
          <w:tcPr>
            <w:tcW w:w="3600" w:type="dxa"/>
            <w:vAlign w:val="bottom"/>
            <w:gridSpan w:val="2"/>
          </w:tcPr>
          <w:p>
            <w:pPr>
              <w:ind w:left="180"/>
              <w:spacing w:after="0"/>
              <w:rPr>
                <w:sz w:val="20"/>
                <w:szCs w:val="20"/>
                <w:color w:val="auto"/>
              </w:rPr>
            </w:pPr>
            <w:r>
              <w:rPr>
                <w:rFonts w:ascii="Arial" w:cs="Arial" w:eastAsia="Arial" w:hAnsi="Arial"/>
                <w:sz w:val="18"/>
                <w:szCs w:val="18"/>
                <w:color w:val="auto"/>
              </w:rPr>
              <w:t>Forfeited and canceled</w:t>
            </w:r>
          </w:p>
        </w:tc>
        <w:tc>
          <w:tcPr>
            <w:tcW w:w="1180" w:type="dxa"/>
            <w:vAlign w:val="bottom"/>
          </w:tcPr>
          <w:p>
            <w:pPr>
              <w:jc w:val="right"/>
              <w:spacing w:after="0"/>
              <w:rPr>
                <w:sz w:val="20"/>
                <w:szCs w:val="20"/>
                <w:color w:val="auto"/>
              </w:rPr>
            </w:pPr>
            <w:r>
              <w:rPr>
                <w:rFonts w:ascii="Arial" w:cs="Arial" w:eastAsia="Arial" w:hAnsi="Arial"/>
                <w:sz w:val="18"/>
                <w:szCs w:val="18"/>
                <w:color w:val="auto"/>
              </w:rPr>
              <w:t>(38,959)</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(30,165)</w:t>
            </w:r>
          </w:p>
        </w:tc>
        <w:tc>
          <w:tcPr>
            <w:tcW w:w="440" w:type="dxa"/>
            <w:vAlign w:val="bottom"/>
          </w:tcPr>
          <w:p>
            <w:pPr>
              <w:spacing w:after="0"/>
              <w:rPr>
                <w:sz w:val="23"/>
                <w:szCs w:val="23"/>
                <w:color w:val="auto"/>
              </w:rPr>
            </w:pPr>
          </w:p>
        </w:tc>
        <w:tc>
          <w:tcPr>
            <w:tcW w:w="1720" w:type="dxa"/>
            <w:vAlign w:val="bottom"/>
            <w:gridSpan w:val="2"/>
          </w:tcPr>
          <w:p>
            <w:pPr>
              <w:jc w:val="right"/>
              <w:ind w:right="402"/>
              <w:spacing w:after="0"/>
              <w:rPr>
                <w:sz w:val="20"/>
                <w:szCs w:val="20"/>
                <w:color w:val="auto"/>
              </w:rPr>
            </w:pPr>
            <w:r>
              <w:rPr>
                <w:rFonts w:ascii="Arial" w:cs="Arial" w:eastAsia="Arial" w:hAnsi="Arial"/>
                <w:sz w:val="18"/>
                <w:szCs w:val="18"/>
                <w:color w:val="auto"/>
              </w:rPr>
              <w:t>(8,794)</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27.23</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34.36</w:t>
            </w:r>
          </w:p>
        </w:tc>
      </w:tr>
      <w:tr>
        <w:trPr>
          <w:trHeight w:val="248"/>
        </w:trPr>
        <w:tc>
          <w:tcPr>
            <w:tcW w:w="20" w:type="dxa"/>
            <w:vAlign w:val="bottom"/>
          </w:tcPr>
          <w:p>
            <w:pPr>
              <w:spacing w:after="0"/>
              <w:rPr>
                <w:sz w:val="21"/>
                <w:szCs w:val="21"/>
                <w:color w:val="auto"/>
              </w:rPr>
            </w:pPr>
          </w:p>
        </w:tc>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March 31,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3,812,757</w:t>
            </w:r>
          </w:p>
        </w:tc>
        <w:tc>
          <w:tcPr>
            <w:tcW w:w="440" w:type="dxa"/>
            <w:vAlign w:val="bottom"/>
            <w:tcBorders>
              <w:top w:val="single" w:sz="8" w:color="CCEEFF"/>
              <w:bottom w:val="single" w:sz="8" w:color="CCEEFF"/>
            </w:tcBorders>
            <w:shd w:val="clear" w:color="auto" w:fill="CCEEFF"/>
          </w:tcPr>
          <w:p>
            <w:pPr>
              <w:jc w:val="right"/>
              <w:ind w:right="222"/>
              <w:spacing w:after="0"/>
              <w:rPr>
                <w:sz w:val="20"/>
                <w:szCs w:val="20"/>
                <w:color w:val="auto"/>
              </w:rPr>
            </w:pPr>
            <w:r>
              <w:rPr>
                <w:rFonts w:ascii="Arial" w:cs="Arial" w:eastAsia="Arial" w:hAnsi="Arial"/>
                <w:sz w:val="12"/>
                <w:szCs w:val="12"/>
                <w:color w:val="auto"/>
                <w:w w:val="95"/>
              </w:rPr>
              <w:t>(2)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3,425,520</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387,237</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9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1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1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the three months ended March 31, 2023, the Company only granted RSUs.</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68,159 RSUs which are expected to be settled in cash.</w:t>
      </w:r>
    </w:p>
    <w:p>
      <w:pPr>
        <w:spacing w:after="0" w:line="59" w:lineRule="exact"/>
        <w:rPr>
          <w:rFonts w:ascii="Arial" w:cs="Arial" w:eastAsia="Arial" w:hAnsi="Arial"/>
          <w:sz w:val="16"/>
          <w:szCs w:val="16"/>
          <w:color w:val="auto"/>
        </w:rPr>
      </w:pPr>
    </w:p>
    <w:p>
      <w:pPr>
        <w:ind w:left="340" w:hanging="332"/>
        <w:spacing w:after="0" w:line="161" w:lineRule="exact"/>
        <w:tabs>
          <w:tab w:leader="none" w:pos="340" w:val="left"/>
        </w:tabs>
        <w:numPr>
          <w:ilvl w:val="0"/>
          <w:numId w:val="11"/>
        </w:numPr>
        <w:rPr>
          <w:rFonts w:ascii="Arial" w:cs="Arial" w:eastAsia="Arial" w:hAnsi="Arial"/>
          <w:sz w:val="14"/>
          <w:szCs w:val="14"/>
          <w:color w:val="231F20"/>
        </w:rPr>
      </w:pPr>
      <w:r>
        <w:rPr>
          <w:rFonts w:ascii="Arial" w:cs="Arial" w:eastAsia="Arial" w:hAnsi="Arial"/>
          <w:sz w:val="14"/>
          <w:szCs w:val="14"/>
          <w:color w:val="auto"/>
        </w:rPr>
        <w:t>Includes 199,076 time</w:t>
      </w:r>
      <w:r>
        <w:rPr>
          <w:rFonts w:ascii="MS PGothic" w:cs="MS PGothic" w:eastAsia="MS PGothic" w:hAnsi="MS PGothic"/>
          <w:sz w:val="14"/>
          <w:szCs w:val="14"/>
          <w:color w:val="auto"/>
        </w:rPr>
        <w:t>‑</w:t>
      </w:r>
      <w:r>
        <w:rPr>
          <w:rFonts w:ascii="Arial" w:cs="Arial" w:eastAsia="Arial" w:hAnsi="Arial"/>
          <w:sz w:val="14"/>
          <w:szCs w:val="14"/>
          <w:color w:val="auto"/>
        </w:rPr>
        <w:t>based RSUs granted during the three months ended March 31, 2022 to certain officers and key employees, which cliff vest on January 31, 2025.</w:t>
      </w:r>
    </w:p>
    <w:p>
      <w:pPr>
        <w:spacing w:after="0" w:line="82" w:lineRule="exact"/>
        <w:rPr>
          <w:rFonts w:ascii="Arial" w:cs="Arial" w:eastAsia="Arial" w:hAnsi="Arial"/>
          <w:sz w:val="14"/>
          <w:szCs w:val="14"/>
          <w:color w:val="231F20"/>
        </w:rPr>
      </w:pPr>
    </w:p>
    <w:p>
      <w:pPr>
        <w:ind w:left="340" w:right="20" w:hanging="332"/>
        <w:spacing w:after="0" w:line="204" w:lineRule="exact"/>
        <w:tabs>
          <w:tab w:leader="none" w:pos="340" w:val="left"/>
        </w:tabs>
        <w:numPr>
          <w:ilvl w:val="0"/>
          <w:numId w:val="11"/>
        </w:numPr>
        <w:rPr>
          <w:rFonts w:ascii="Arial" w:cs="Arial" w:eastAsia="Arial" w:hAnsi="Arial"/>
          <w:sz w:val="16"/>
          <w:szCs w:val="16"/>
          <w:color w:val="231F20"/>
        </w:rPr>
      </w:pPr>
      <w:r>
        <w:rPr>
          <w:rFonts w:ascii="Arial" w:cs="Arial" w:eastAsia="Arial" w:hAnsi="Arial"/>
          <w:sz w:val="16"/>
          <w:szCs w:val="16"/>
          <w:color w:val="auto"/>
        </w:rPr>
        <w:t>Primarily relates to the 2022 annual performance period, except for 185,186 performance</w:t>
      </w:r>
      <w:r>
        <w:rPr>
          <w:rFonts w:ascii="MS PGothic" w:cs="MS PGothic" w:eastAsia="MS PGothic" w:hAnsi="MS PGothic"/>
          <w:sz w:val="16"/>
          <w:szCs w:val="16"/>
          <w:color w:val="auto"/>
        </w:rPr>
        <w:t>‑</w:t>
      </w:r>
      <w:r>
        <w:rPr>
          <w:rFonts w:ascii="Arial" w:cs="Arial" w:eastAsia="Arial" w:hAnsi="Arial"/>
          <w:sz w:val="16"/>
          <w:szCs w:val="16"/>
          <w:color w:val="auto"/>
        </w:rPr>
        <w:t>based RSUs granted during the year ended December 31, 2022 with extraordinary terms, which are described below.</w:t>
      </w:r>
    </w:p>
    <w:p>
      <w:pPr>
        <w:spacing w:after="0" w:line="37" w:lineRule="exact"/>
        <w:rPr>
          <w:rFonts w:ascii="Arial" w:cs="Arial" w:eastAsia="Arial" w:hAnsi="Arial"/>
          <w:sz w:val="16"/>
          <w:szCs w:val="16"/>
          <w:color w:val="231F20"/>
        </w:rPr>
      </w:pPr>
    </w:p>
    <w:p>
      <w:pPr>
        <w:ind w:left="340" w:hanging="332"/>
        <w:spacing w:after="0" w:line="204" w:lineRule="exact"/>
        <w:tabs>
          <w:tab w:leader="none" w:pos="340" w:val="left"/>
        </w:tabs>
        <w:numPr>
          <w:ilvl w:val="0"/>
          <w:numId w:val="11"/>
        </w:numPr>
        <w:rPr>
          <w:rFonts w:ascii="Arial" w:cs="Arial" w:eastAsia="Arial" w:hAnsi="Arial"/>
          <w:sz w:val="16"/>
          <w:szCs w:val="16"/>
          <w:color w:val="231F20"/>
        </w:rPr>
      </w:pPr>
      <w:r>
        <w:rPr>
          <w:rFonts w:ascii="Arial" w:cs="Arial" w:eastAsia="Arial" w:hAnsi="Arial"/>
          <w:sz w:val="16"/>
          <w:szCs w:val="16"/>
          <w:color w:val="auto"/>
        </w:rPr>
        <w:t>Primarily relates to the 2023 annual performance period, except for 13,367 additional shares earned based on the achievement of 2022 performance goals for performance</w:t>
      </w:r>
      <w:r>
        <w:rPr>
          <w:rFonts w:ascii="MS PGothic" w:cs="MS PGothic" w:eastAsia="MS PGothic" w:hAnsi="MS PGothic"/>
          <w:sz w:val="16"/>
          <w:szCs w:val="16"/>
          <w:color w:val="auto"/>
        </w:rPr>
        <w:t>‑</w:t>
      </w:r>
      <w:r>
        <w:rPr>
          <w:rFonts w:ascii="Arial" w:cs="Arial" w:eastAsia="Arial" w:hAnsi="Arial"/>
          <w:sz w:val="16"/>
          <w:szCs w:val="16"/>
          <w:color w:val="auto"/>
        </w:rPr>
        <w:t>based RSUs granted during the year ended December 31, 2022.</w:t>
      </w:r>
    </w:p>
    <w:p>
      <w:pPr>
        <w:spacing w:after="0" w:line="195"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During the year ended December 31, 2022, the Company granted 185,186 performance</w:t>
      </w:r>
      <w:r>
        <w:rPr>
          <w:rFonts w:ascii="MS PGothic" w:cs="MS PGothic" w:eastAsia="MS PGothic" w:hAnsi="MS PGothic"/>
          <w:sz w:val="18"/>
          <w:szCs w:val="18"/>
          <w:color w:val="auto"/>
        </w:rPr>
        <w:t>‑</w:t>
      </w:r>
      <w:r>
        <w:rPr>
          <w:rFonts w:ascii="Arial" w:cs="Arial" w:eastAsia="Arial" w:hAnsi="Arial"/>
          <w:sz w:val="18"/>
          <w:szCs w:val="18"/>
          <w:color w:val="auto"/>
        </w:rPr>
        <w:t>based RSUs to certain officers and key employees, which vest subject to the achievement of certain performance goals over a three</w:t>
      </w:r>
      <w:r>
        <w:rPr>
          <w:rFonts w:ascii="MS PGothic" w:cs="MS PGothic" w:eastAsia="MS PGothic" w:hAnsi="MS PGothic"/>
          <w:sz w:val="18"/>
          <w:szCs w:val="18"/>
          <w:color w:val="auto"/>
        </w:rPr>
        <w:t>‑</w:t>
      </w:r>
      <w:r>
        <w:rPr>
          <w:rFonts w:ascii="Arial" w:cs="Arial" w:eastAsia="Arial" w:hAnsi="Arial"/>
          <w:sz w:val="18"/>
          <w:szCs w:val="18"/>
          <w:color w:val="auto"/>
        </w:rPr>
        <w:t>year performance period (the “Performance Period”). For each year of the Performance Period, one</w:t>
      </w:r>
      <w:r>
        <w:rPr>
          <w:rFonts w:ascii="MS PGothic" w:cs="MS PGothic" w:eastAsia="MS PGothic" w:hAnsi="MS PGothic"/>
          <w:sz w:val="18"/>
          <w:szCs w:val="18"/>
          <w:color w:val="auto"/>
        </w:rPr>
        <w:t>‑</w:t>
      </w:r>
      <w:r>
        <w:rPr>
          <w:rFonts w:ascii="Arial" w:cs="Arial" w:eastAsia="Arial" w:hAnsi="Arial"/>
          <w:sz w:val="18"/>
          <w:szCs w:val="18"/>
          <w:color w:val="auto"/>
        </w:rPr>
        <w:t>third of the performance</w:t>
      </w:r>
      <w:r>
        <w:rPr>
          <w:rFonts w:ascii="MS PGothic" w:cs="MS PGothic" w:eastAsia="MS PGothic" w:hAnsi="MS PGothic"/>
          <w:sz w:val="18"/>
          <w:szCs w:val="18"/>
          <w:color w:val="auto"/>
        </w:rPr>
        <w:t>‑</w:t>
      </w:r>
      <w:r>
        <w:rPr>
          <w:rFonts w:ascii="Arial" w:cs="Arial" w:eastAsia="Arial" w:hAnsi="Arial"/>
          <w:sz w:val="18"/>
          <w:szCs w:val="18"/>
          <w:color w:val="auto"/>
        </w:rPr>
        <w:t>based RSUs will be subject to a cliff, whereby no vesting of that portion will occur unless the Company’s applicable margin metrics (which, for 2022, was Adjusted EBITDA margin and for 2023 and 2024, will be Adjusted operating income inclusive of stock-based compensation expense (“Adjusted OI w/SBC”) margin, excluding the impact of currency exchange fluctuations) also equals or exceeds the relevant target level for such year. Provided that the applicable margin targets are met, the total number of performance</w:t>
      </w:r>
      <w:r>
        <w:rPr>
          <w:rFonts w:ascii="MS PGothic" w:cs="MS PGothic" w:eastAsia="MS PGothic" w:hAnsi="MS PGothic"/>
          <w:sz w:val="18"/>
          <w:szCs w:val="18"/>
          <w:color w:val="auto"/>
        </w:rPr>
        <w:t>‑</w:t>
      </w:r>
      <w:r>
        <w:rPr>
          <w:rFonts w:ascii="Arial" w:cs="Arial" w:eastAsia="Arial" w:hAnsi="Arial"/>
          <w:sz w:val="18"/>
          <w:szCs w:val="18"/>
          <w:color w:val="auto"/>
        </w:rPr>
        <w:t>based RSUs that will vest is determined by the achievement of growth targets, which include growth in ARR,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Final actual vesting will be determined on January 31, 2025. The 2022 Adjusted EBITDA margin target for the performance</w:t>
      </w:r>
      <w:r>
        <w:rPr>
          <w:rFonts w:ascii="MS PGothic" w:cs="MS PGothic" w:eastAsia="MS PGothic" w:hAnsi="MS PGothic"/>
          <w:sz w:val="18"/>
          <w:szCs w:val="18"/>
          <w:color w:val="auto"/>
        </w:rPr>
        <w:t>‑</w:t>
      </w:r>
      <w:r>
        <w:rPr>
          <w:rFonts w:ascii="Arial" w:cs="Arial" w:eastAsia="Arial" w:hAnsi="Arial"/>
          <w:sz w:val="18"/>
          <w:szCs w:val="18"/>
          <w:color w:val="auto"/>
        </w:rPr>
        <w:t>based RSUs was met.</w:t>
      </w:r>
    </w:p>
    <w:p>
      <w:pPr>
        <w:spacing w:after="0" w:line="204"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In 2016, the Company granted RSUs subject to performance</w:t>
      </w:r>
      <w:r>
        <w:rPr>
          <w:rFonts w:ascii="MS PGothic" w:cs="MS PGothic" w:eastAsia="MS PGothic" w:hAnsi="MS PGothic"/>
          <w:sz w:val="16"/>
          <w:szCs w:val="16"/>
          <w:color w:val="auto"/>
        </w:rPr>
        <w:t>‑</w:t>
      </w:r>
      <w:r>
        <w:rPr>
          <w:rFonts w:ascii="Arial" w:cs="Arial" w:eastAsia="Arial" w:hAnsi="Arial"/>
          <w:sz w:val="16"/>
          <w:szCs w:val="16"/>
          <w:color w:val="auto"/>
        </w:rPr>
        <w:t>based vesting as determined by the achievement of certain business growth targets. Certain colleagues elected to defer delivery of such shares upon vesting. During the three months ended March 31, 2023, 7 shares were earned as a result of dividends. During the three months ended March 31, 2022, 10,888 shares were delivered to colleagues and 7 additional shares were earned as a result of dividends. As of March 31, 2023 and December 31, 2022, 9,370 and 9,363 shares, respectively, of these vested and deferred RSUs remained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 date fair values of RSUs granted were $40.73 and $39.26, for the three months ended March 31, 2023 and 2022, respectively.</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and 2022, restricted stock and RSUs were issued net of 78,993 and 38,955 shares, respectively, which were sold back to the Company to settle applicable income tax withholdings of $3,025 and $1,555,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As of March 31, 2023, there was $104,808 of unrecognized compensation expense related to unvested time</w:t>
      </w:r>
      <w:r>
        <w:rPr>
          <w:rFonts w:ascii="MS PGothic" w:cs="MS PGothic" w:eastAsia="MS PGothic" w:hAnsi="MS PGothic"/>
          <w:sz w:val="18"/>
          <w:szCs w:val="18"/>
          <w:color w:val="auto"/>
        </w:rPr>
        <w:t>‑</w:t>
      </w:r>
      <w:r>
        <w:rPr>
          <w:rFonts w:ascii="Arial" w:cs="Arial" w:eastAsia="Arial" w:hAnsi="Arial"/>
          <w:sz w:val="18"/>
          <w:szCs w:val="18"/>
          <w:color w:val="auto"/>
        </w:rPr>
        <w:t>based restricted stock and RSUs, which is expected to be recognized over a weighted average period of approximately 2.0 years. As of March 31, 2023, there was $11,651 of unrecognized compensation expense related to unvested performance</w:t>
      </w:r>
      <w:r>
        <w:rPr>
          <w:rFonts w:ascii="MS PGothic" w:cs="MS PGothic" w:eastAsia="MS PGothic" w:hAnsi="MS PGothic"/>
          <w:sz w:val="18"/>
          <w:szCs w:val="18"/>
          <w:color w:val="auto"/>
        </w:rPr>
        <w:t>‑</w:t>
      </w:r>
      <w:r>
        <w:rPr>
          <w:rFonts w:ascii="Arial" w:cs="Arial" w:eastAsia="Arial" w:hAnsi="Arial"/>
          <w:sz w:val="18"/>
          <w:szCs w:val="18"/>
          <w:color w:val="auto"/>
        </w:rPr>
        <w:t>based RSUs, which is expected to be recognized over a weighted average period of approximately 1.3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and effective tax rate for the periods presented: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8"/>
                <w:szCs w:val="18"/>
                <w:color w:val="auto"/>
              </w:rPr>
            </w:pPr>
          </w:p>
        </w:tc>
      </w:tr>
      <w:tr>
        <w:trPr>
          <w:trHeight w:val="219"/>
        </w:trPr>
        <w:tc>
          <w:tcPr>
            <w:tcW w:w="75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19"/>
                <w:szCs w:val="19"/>
                <w:color w:val="auto"/>
              </w:rPr>
            </w:pPr>
          </w:p>
        </w:tc>
      </w:tr>
      <w:tr>
        <w:trPr>
          <w:trHeight w:val="210"/>
        </w:trPr>
        <w:tc>
          <w:tcPr>
            <w:tcW w:w="7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Income before income taxes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54,982</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60,191</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i w:val="1"/>
                <w:iCs w:val="1"/>
                <w:color w:val="auto"/>
              </w:rPr>
              <w:t>Provision for income taxes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9,492</w:t>
            </w:r>
          </w:p>
        </w:tc>
        <w:tc>
          <w:tcPr>
            <w:tcW w:w="26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3,231</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296"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For the three months ended March 31, 2023, the effective tax rate was higher primarily due to the decrease in discrete tax benefits recognized in the current year period. For the three months ended March 31, 2023 and 2022, the Company recorded tax benefits of $7,073 and $12,728, respectively, primarily associated with windfall tax benefits from stock</w:t>
      </w:r>
      <w:r>
        <w:rPr>
          <w:rFonts w:ascii="MS PGothic" w:cs="MS PGothic" w:eastAsia="MS PGothic" w:hAnsi="MS PGothic"/>
          <w:sz w:val="17"/>
          <w:szCs w:val="17"/>
          <w:color w:val="auto"/>
        </w:rPr>
        <w:t>‑</w:t>
      </w:r>
      <w:r>
        <w:rPr>
          <w:rFonts w:ascii="Arial" w:cs="Arial" w:eastAsia="Arial" w:hAnsi="Arial"/>
          <w:sz w:val="17"/>
          <w:szCs w:val="17"/>
          <w:color w:val="auto"/>
        </w:rPr>
        <w:t>based compensation, net of the impact from officer compensation limitation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are unobservable inputs based on management’s own assumptions used to measure assets and liabilities at fair value.</w:t>
      </w:r>
    </w:p>
    <w:p>
      <w:pPr>
        <w:spacing w:after="0" w:line="2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i w:val="1"/>
          <w:iCs w:val="1"/>
          <w:color w:val="auto"/>
        </w:rPr>
        <w:t xml:space="preserve">Current assets and current liabilities </w:t>
      </w:r>
      <w:r>
        <w:rPr>
          <w:rFonts w:ascii="Arial" w:cs="Arial" w:eastAsia="Arial" w:hAnsi="Arial"/>
          <w:sz w:val="18"/>
          <w:szCs w:val="18"/>
          <w:color w:val="auto"/>
        </w:rPr>
        <w:t>— In general, the carrying amounts reported on the Company’s consolidated balance sheets for current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liabilities approximate their fair values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those instruments.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by the Company in estimating its fair value measurements for Level 2 and Level 3 financial instruments as of March 31, 2023 and December 31,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 contingent consideration </w:t>
      </w:r>
      <w:r>
        <w:rPr>
          <w:rFonts w:ascii="Arial" w:cs="Arial" w:eastAsia="Arial" w:hAnsi="Arial"/>
          <w:sz w:val="18"/>
          <w:szCs w:val="18"/>
          <w:color w:val="auto"/>
        </w:rPr>
        <w:t>— The fair value of these liabilities is generally determined using a cost or income approach and is measured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significant inputs not observable in the market, which represents a Level 3 measurement within the fair value hierarchy. The valuation of contingent consideration uses assumptions the Company believes would be made by a market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Interest rate swap </w:t>
      </w:r>
      <w:r>
        <w:rPr>
          <w:rFonts w:ascii="Arial" w:cs="Arial" w:eastAsia="Arial" w:hAnsi="Arial"/>
          <w:sz w:val="18"/>
          <w:szCs w:val="18"/>
          <w:color w:val="auto"/>
        </w:rPr>
        <w:t>— The fair value of the Company’s interest rate swap asset or liability is determined using an income approach and is measured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implied forward rates from the U.S. dollar one</w:t>
      </w:r>
      <w:r>
        <w:rPr>
          <w:rFonts w:ascii="MS PGothic" w:cs="MS PGothic" w:eastAsia="MS PGothic" w:hAnsi="MS PGothic"/>
          <w:sz w:val="18"/>
          <w:szCs w:val="18"/>
          <w:color w:val="auto"/>
        </w:rPr>
        <w:t>‑</w:t>
      </w:r>
      <w:r>
        <w:rPr>
          <w:rFonts w:ascii="Arial" w:cs="Arial" w:eastAsia="Arial" w:hAnsi="Arial"/>
          <w:sz w:val="18"/>
          <w:szCs w:val="18"/>
          <w:color w:val="auto"/>
        </w:rPr>
        <w:t>month LIBOR yield curve. The Company considers these valuation inputs to be Level 2 inputs in the fair value hierarchy.</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 The fair value of the Company’s borrowings under its Credit Facility approximated its carrying value based upon discounted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at current market rates for instruments with similar remaining terms. The Company considers these valuation inputs to be Level 2 inputs in the fair value hierarchy. As of March 31, 2023, the estimated fair value of the 2026 Notes and 2027 Notes was $644,572 and $487,376, respectively. As of December 31, 2022, the estimated fair value of the 2026 Notes and 2027 Notes was $622,431 and $470,856,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Deferred compensation plan liabilities </w:t>
      </w:r>
      <w:r>
        <w:rPr>
          <w:rFonts w:ascii="Arial" w:cs="Arial" w:eastAsia="Arial" w:hAnsi="Arial"/>
          <w:sz w:val="18"/>
          <w:szCs w:val="18"/>
          <w:color w:val="auto"/>
        </w:rPr>
        <w:t>— The fair value of deferred compensation plan liabilities, including the liability classified phantom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DCP, are marked to market at the end of each reporting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carried at fair value measured on a recurring basis consist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20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March 31, 2023</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6,578</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6,578</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32,711</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32,711</w:t>
            </w:r>
          </w:p>
        </w:tc>
        <w:tc>
          <w:tcPr>
            <w:tcW w:w="2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20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6,578</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32,711</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8"/>
              </w:rPr>
              <w:t>39,289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40" w:type="dxa"/>
            <w:vAlign w:val="bottom"/>
          </w:tcPr>
          <w:p>
            <w:pPr>
              <w:jc w:val="right"/>
              <w:ind w:right="58"/>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82,807</w:t>
            </w:r>
          </w:p>
        </w:tc>
        <w:tc>
          <w:tcPr>
            <w:tcW w:w="2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w:t>
            </w:r>
          </w:p>
        </w:tc>
        <w:tc>
          <w:tcPr>
            <w:tcW w:w="20" w:type="dxa"/>
            <w:vAlign w:val="bottom"/>
          </w:tcPr>
          <w:p>
            <w:pPr>
              <w:spacing w:after="0"/>
              <w:rPr>
                <w:sz w:val="23"/>
                <w:szCs w:val="23"/>
                <w:color w:val="auto"/>
              </w:rPr>
            </w:pPr>
          </w:p>
        </w:tc>
      </w:tr>
      <w:tr>
        <w:trPr>
          <w:trHeight w:val="248"/>
        </w:trPr>
        <w:tc>
          <w:tcPr>
            <w:tcW w:w="20" w:type="dxa"/>
            <w:vAlign w:val="bottom"/>
          </w:tcPr>
          <w:p>
            <w:pPr>
              <w:spacing w:after="0"/>
              <w:rPr>
                <w:sz w:val="21"/>
                <w:szCs w:val="21"/>
                <w:color w:val="auto"/>
              </w:rPr>
            </w:pPr>
          </w:p>
        </w:tc>
        <w:tc>
          <w:tcPr>
            <w:tcW w:w="52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83,630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84,585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4"/>
        </w:trPr>
        <w:tc>
          <w:tcPr>
            <w:tcW w:w="20" w:type="dxa"/>
            <w:vAlign w:val="bottom"/>
          </w:tcPr>
          <w:p>
            <w:pPr>
              <w:spacing w:after="0"/>
              <w:rPr>
                <w:sz w:val="24"/>
                <w:szCs w:val="24"/>
                <w:color w:val="auto"/>
              </w:rPr>
            </w:pPr>
          </w:p>
        </w:tc>
        <w:tc>
          <w:tcPr>
            <w:tcW w:w="5200" w:type="dxa"/>
            <w:vAlign w:val="bottom"/>
            <w:gridSpan w:val="3"/>
          </w:tcPr>
          <w:p>
            <w:pPr>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4"/>
                <w:szCs w:val="24"/>
                <w:color w:val="auto"/>
              </w:rPr>
            </w:pPr>
          </w:p>
        </w:tc>
        <w:tc>
          <w:tcPr>
            <w:tcW w:w="1300" w:type="dxa"/>
            <w:vAlign w:val="bottom"/>
            <w:gridSpan w:val="3"/>
          </w:tcPr>
          <w:p>
            <w:pPr>
              <w:ind w:left="140"/>
              <w:spacing w:after="0"/>
              <w:rPr>
                <w:sz w:val="20"/>
                <w:szCs w:val="20"/>
                <w:color w:val="auto"/>
              </w:rPr>
            </w:pPr>
            <w:r>
              <w:rPr>
                <w:rFonts w:ascii="Arial" w:cs="Arial" w:eastAsia="Arial" w:hAnsi="Arial"/>
                <w:sz w:val="16"/>
                <w:szCs w:val="16"/>
                <w:b w:val="1"/>
                <w:bCs w:val="1"/>
                <w:color w:val="auto"/>
              </w:rPr>
              <w:t>Level 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4"/>
                <w:szCs w:val="24"/>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37,200</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94"/>
              </w:rPr>
              <w:t>37,200</w:t>
            </w:r>
          </w:p>
        </w:tc>
        <w:tc>
          <w:tcPr>
            <w:tcW w:w="20" w:type="dxa"/>
            <w:vAlign w:val="bottom"/>
            <w:tcBorders>
              <w:bottom w:val="single" w:sz="8" w:color="auto"/>
            </w:tcBorders>
            <w:shd w:val="clear" w:color="auto" w:fill="CCEEFF"/>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37,200</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480"/>
              <w:spacing w:after="0"/>
              <w:rPr>
                <w:sz w:val="20"/>
                <w:szCs w:val="20"/>
                <w:color w:val="auto"/>
              </w:rPr>
            </w:pPr>
            <w:r>
              <w:rPr>
                <w:rFonts w:ascii="Arial" w:cs="Arial" w:eastAsia="Arial" w:hAnsi="Arial"/>
                <w:sz w:val="18"/>
                <w:szCs w:val="18"/>
                <w:color w:val="auto"/>
                <w:w w:val="94"/>
              </w:rPr>
              <w:t>37,219</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200" w:type="dxa"/>
            <w:vAlign w:val="bottom"/>
            <w:gridSpan w:val="3"/>
          </w:tcPr>
          <w:p>
            <w:pPr>
              <w:ind w:left="16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40" w:type="dxa"/>
            <w:vAlign w:val="bottom"/>
          </w:tcPr>
          <w:p>
            <w:pPr>
              <w:jc w:val="right"/>
              <w:ind w:right="78"/>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1,196</w:t>
            </w:r>
          </w:p>
        </w:tc>
        <w:tc>
          <w:tcPr>
            <w:tcW w:w="20" w:type="dxa"/>
            <w:vAlign w:val="bottom"/>
          </w:tcPr>
          <w:p>
            <w:pPr>
              <w:spacing w:after="0"/>
              <w:rPr>
                <w:sz w:val="23"/>
                <w:szCs w:val="23"/>
                <w:color w:val="auto"/>
              </w:rPr>
            </w:pPr>
          </w:p>
        </w:tc>
      </w:tr>
      <w:tr>
        <w:trPr>
          <w:trHeight w:val="270"/>
        </w:trPr>
        <w:tc>
          <w:tcPr>
            <w:tcW w:w="20" w:type="dxa"/>
            <w:vAlign w:val="bottom"/>
            <w:shd w:val="clear" w:color="auto" w:fill="CCEEFF"/>
          </w:tcPr>
          <w:p>
            <w:pPr>
              <w:spacing w:after="0"/>
              <w:rPr>
                <w:sz w:val="23"/>
                <w:szCs w:val="23"/>
                <w:color w:val="auto"/>
              </w:rPr>
            </w:pPr>
          </w:p>
        </w:tc>
        <w:tc>
          <w:tcPr>
            <w:tcW w:w="5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79,081</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79,081</w:t>
            </w:r>
          </w:p>
        </w:tc>
        <w:tc>
          <w:tcPr>
            <w:tcW w:w="20" w:type="dxa"/>
            <w:vAlign w:val="bottom"/>
            <w:shd w:val="clear" w:color="auto" w:fill="CCEEFF"/>
          </w:tcPr>
          <w:p>
            <w:pPr>
              <w:spacing w:after="0"/>
              <w:rPr>
                <w:sz w:val="23"/>
                <w:szCs w:val="23"/>
                <w:color w:val="auto"/>
              </w:rPr>
            </w:pPr>
          </w:p>
        </w:tc>
      </w:tr>
      <w:tr>
        <w:trPr>
          <w:trHeight w:val="270"/>
        </w:trPr>
        <w:tc>
          <w:tcPr>
            <w:tcW w:w="20" w:type="dxa"/>
            <w:vAlign w:val="bottom"/>
            <w:tcBorders>
              <w:bottom w:val="single" w:sz="8" w:color="CCEEFF"/>
            </w:tcBorders>
          </w:tcPr>
          <w:p>
            <w:pPr>
              <w:spacing w:after="0"/>
              <w:rPr>
                <w:sz w:val="23"/>
                <w:szCs w:val="23"/>
                <w:color w:val="auto"/>
              </w:rPr>
            </w:pPr>
          </w:p>
        </w:tc>
        <w:tc>
          <w:tcPr>
            <w:tcW w:w="51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0" w:type="dxa"/>
            <w:vAlign w:val="bottom"/>
            <w:tcBorders>
              <w:bottom w:val="single" w:sz="8" w:color="auto"/>
            </w:tcBorders>
          </w:tcPr>
          <w:p>
            <w:pPr>
              <w:spacing w:after="0"/>
              <w:rPr>
                <w:sz w:val="23"/>
                <w:szCs w:val="23"/>
                <w:color w:val="auto"/>
              </w:rPr>
            </w:pPr>
          </w:p>
        </w:tc>
      </w:tr>
      <w:tr>
        <w:trPr>
          <w:trHeight w:val="243"/>
        </w:trPr>
        <w:tc>
          <w:tcPr>
            <w:tcW w:w="20" w:type="dxa"/>
            <w:vAlign w:val="bottom"/>
            <w:shd w:val="clear" w:color="auto" w:fill="CCEEFF"/>
          </w:tcPr>
          <w:p>
            <w:pPr>
              <w:spacing w:after="0"/>
              <w:rPr>
                <w:sz w:val="21"/>
                <w:szCs w:val="21"/>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79,617</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80,813</w:t>
            </w:r>
          </w:p>
        </w:tc>
        <w:tc>
          <w:tcPr>
            <w:tcW w:w="20" w:type="dxa"/>
            <w:vAlign w:val="bottom"/>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1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Cash and cash equivalents</w:t>
      </w:r>
      <w:r>
        <w:rPr>
          <w:rFonts w:ascii="Arial" w:cs="Arial" w:eastAsia="Arial" w:hAnsi="Arial"/>
          <w:sz w:val="16"/>
          <w:szCs w:val="16"/>
          <w:color w:val="auto"/>
        </w:rPr>
        <w:t xml:space="preserve"> in the consolidated balance sheets.</w:t>
      </w:r>
    </w:p>
    <w:p>
      <w:pPr>
        <w:spacing w:after="0" w:line="72"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consolidated balance sheets.</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sheets.</w:t>
      </w:r>
    </w:p>
    <w:p>
      <w:pPr>
        <w:spacing w:after="0" w:line="59" w:lineRule="exact"/>
        <w:rPr>
          <w:rFonts w:ascii="Arial" w:cs="Arial" w:eastAsia="Arial" w:hAnsi="Arial"/>
          <w:sz w:val="16"/>
          <w:szCs w:val="16"/>
          <w:color w:val="auto"/>
        </w:rPr>
      </w:pPr>
    </w:p>
    <w:p>
      <w:pPr>
        <w:ind w:left="340" w:hanging="332"/>
        <w:spacing w:after="0" w:line="29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Deferred compensation plan liabilities</w:t>
      </w:r>
      <w:r>
        <w:rPr>
          <w:rFonts w:ascii="Arial" w:cs="Arial" w:eastAsia="Arial" w:hAnsi="Arial"/>
          <w:sz w:val="16"/>
          <w:szCs w:val="16"/>
          <w:color w:val="auto"/>
        </w:rPr>
        <w:t xml:space="preserve">, except for current liabilities of $2,133 and $2,067 as of March 31, 2023 and December 31, 2022, respectively, which are included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sheets.</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Accruals and other current liabilities</w:t>
      </w:r>
      <w:r>
        <w:rPr>
          <w:rFonts w:ascii="Arial" w:cs="Arial" w:eastAsia="Arial" w:hAnsi="Arial"/>
          <w:sz w:val="16"/>
          <w:szCs w:val="16"/>
          <w:color w:val="auto"/>
        </w:rPr>
        <w:t xml:space="preserve"> in the consolidated balance sheets.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changes in fair value of the Company’s financial liabilities which have been classified as Level 3 in the fair value hierarchy: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Three Months Ended</w:t>
            </w:r>
          </w:p>
        </w:tc>
        <w:tc>
          <w:tcPr>
            <w:tcW w:w="260" w:type="dxa"/>
            <w:vAlign w:val="bottom"/>
          </w:tcPr>
          <w:p>
            <w:pPr>
              <w:spacing w:after="0"/>
              <w:rPr>
                <w:sz w:val="18"/>
                <w:szCs w:val="18"/>
                <w:color w:val="auto"/>
              </w:rPr>
            </w:pPr>
          </w:p>
        </w:tc>
        <w:tc>
          <w:tcPr>
            <w:tcW w:w="1840" w:type="dxa"/>
            <w:vAlign w:val="bottom"/>
          </w:tcPr>
          <w:p>
            <w:pPr>
              <w:jc w:val="right"/>
              <w:ind w:right="552"/>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6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3"/>
              </w:rPr>
              <w:t>March 31, 2023</w:t>
            </w:r>
          </w:p>
        </w:tc>
        <w:tc>
          <w:tcPr>
            <w:tcW w:w="260" w:type="dxa"/>
            <w:vAlign w:val="bottom"/>
          </w:tcPr>
          <w:p>
            <w:pPr>
              <w:spacing w:after="0"/>
              <w:rPr>
                <w:sz w:val="19"/>
                <w:szCs w:val="19"/>
                <w:color w:val="auto"/>
              </w:rPr>
            </w:pPr>
          </w:p>
        </w:tc>
        <w:tc>
          <w:tcPr>
            <w:tcW w:w="1840" w:type="dxa"/>
            <w:vAlign w:val="bottom"/>
          </w:tcPr>
          <w:p>
            <w:pPr>
              <w:jc w:val="right"/>
              <w:ind w:right="312"/>
              <w:spacing w:after="0"/>
              <w:rPr>
                <w:sz w:val="20"/>
                <w:szCs w:val="20"/>
                <w:color w:val="auto"/>
              </w:rPr>
            </w:pPr>
            <w:r>
              <w:rPr>
                <w:rFonts w:ascii="Arial" w:cs="Arial" w:eastAsia="Arial" w:hAnsi="Arial"/>
                <w:sz w:val="16"/>
                <w:szCs w:val="16"/>
                <w:b w:val="1"/>
                <w:bCs w:val="1"/>
                <w:color w:val="auto"/>
                <w:w w:val="98"/>
              </w:rPr>
              <w:t>December 31, 2022</w:t>
            </w:r>
          </w:p>
        </w:tc>
      </w:tr>
      <w:tr>
        <w:trPr>
          <w:trHeight w:val="22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(5,261)</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w:t>
            </w:r>
          </w:p>
        </w:tc>
        <w:tc>
          <w:tcPr>
            <w:tcW w:w="2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23"/>
                <w:szCs w:val="23"/>
                <w:color w:val="auto"/>
              </w:rPr>
            </w:pP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b w:val="1"/>
          <w:bCs w:val="1"/>
          <w:i w:val="1"/>
          <w:iCs w:val="1"/>
          <w:color w:val="auto"/>
        </w:rPr>
        <w:t xml:space="preserve">Purchase Commitment </w:t>
      </w:r>
      <w:r>
        <w:rPr>
          <w:rFonts w:ascii="Arial" w:cs="Arial" w:eastAsia="Arial" w:hAnsi="Arial"/>
          <w:sz w:val="17"/>
          <w:szCs w:val="17"/>
          <w:color w:val="auto"/>
        </w:rPr>
        <w:t>— In the normal course of business, the Company enters into various purchase commitments for goods and services.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2023, the non</w:t>
      </w:r>
      <w:r>
        <w:rPr>
          <w:rFonts w:ascii="MS PGothic" w:cs="MS PGothic" w:eastAsia="MS PGothic" w:hAnsi="MS PGothic"/>
          <w:sz w:val="17"/>
          <w:szCs w:val="17"/>
          <w:color w:val="auto"/>
        </w:rPr>
        <w:t>‑</w:t>
      </w:r>
      <w:r>
        <w:rPr>
          <w:rFonts w:ascii="Arial" w:cs="Arial" w:eastAsia="Arial" w:hAnsi="Arial"/>
          <w:sz w:val="17"/>
          <w:szCs w:val="17"/>
          <w:color w:val="auto"/>
        </w:rPr>
        <w:t>cancelable future cash purchase commitment for services related to the cloud provisioning of the Company’s software solutions was $5,516 through May 2023. The Company expects to fully consume its contractual commitment in the ordinary course of operations.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From time to time, the Company is involved in certain legal actions arising in the ordinary course of business. In management’s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the advice of counsel, the outcome of such actions is not expected to have a material adverse effect on the Company’s future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Geographic Data</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Revenues by geographic region are presented in Note 3. Long</w:t>
      </w:r>
      <w:r>
        <w:rPr>
          <w:rFonts w:ascii="MS PGothic" w:cs="MS PGothic" w:eastAsia="MS PGothic" w:hAnsi="MS PGothic"/>
          <w:sz w:val="18"/>
          <w:szCs w:val="18"/>
          <w:color w:val="auto"/>
        </w:rPr>
        <w:t>‑</w:t>
      </w:r>
      <w:r>
        <w:rPr>
          <w:rFonts w:ascii="Arial" w:cs="Arial" w:eastAsia="Arial" w:hAnsi="Arial"/>
          <w:sz w:val="18"/>
          <w:szCs w:val="18"/>
          <w:color w:val="auto"/>
        </w:rPr>
        <w:t>lived assets (other than goodwill), net of depreciation and amortization by geographic region (see Notes 5, 6, and 8)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2023</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2022</w:t>
            </w:r>
          </w:p>
        </w:tc>
      </w:tr>
      <w:tr>
        <w:trPr>
          <w:trHeight w:val="226"/>
        </w:trPr>
        <w:tc>
          <w:tcPr>
            <w:tcW w:w="20" w:type="dxa"/>
            <w:vAlign w:val="bottom"/>
          </w:tcPr>
          <w:p>
            <w:pPr>
              <w:spacing w:after="0"/>
              <w:rPr>
                <w:sz w:val="19"/>
                <w:szCs w:val="19"/>
                <w:color w:val="auto"/>
              </w:rPr>
            </w:pPr>
          </w:p>
        </w:tc>
        <w:tc>
          <w:tcPr>
            <w:tcW w:w="7060" w:type="dxa"/>
            <w:vAlign w:val="bottom"/>
            <w:tcBorders>
              <w:top w:val="single" w:sz="8" w:color="CCEEFF"/>
            </w:tcBorders>
            <w:gridSpan w:val="2"/>
            <w:shd w:val="clear" w:color="auto" w:fill="CCEEFF"/>
          </w:tcPr>
          <w:p>
            <w:pPr>
              <w:ind w:left="40"/>
              <w:spacing w:after="0" w:line="226"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163,636</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164,729</w:t>
            </w:r>
          </w:p>
        </w:tc>
      </w:tr>
      <w:tr>
        <w:trPr>
          <w:trHeight w:val="230"/>
        </w:trPr>
        <w:tc>
          <w:tcPr>
            <w:tcW w:w="20" w:type="dxa"/>
            <w:vAlign w:val="bottom"/>
          </w:tcPr>
          <w:p>
            <w:pPr>
              <w:spacing w:after="0"/>
              <w:rPr>
                <w:sz w:val="19"/>
                <w:szCs w:val="19"/>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EMEA</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31,359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32,372</w:t>
            </w:r>
          </w:p>
        </w:tc>
      </w:tr>
      <w:tr>
        <w:trPr>
          <w:trHeight w:val="230"/>
        </w:trPr>
        <w:tc>
          <w:tcPr>
            <w:tcW w:w="20" w:type="dxa"/>
            <w:vAlign w:val="bottom"/>
          </w:tcPr>
          <w:p>
            <w:pPr>
              <w:spacing w:after="0"/>
              <w:rPr>
                <w:sz w:val="19"/>
                <w:szCs w:val="19"/>
                <w:color w:val="auto"/>
              </w:rPr>
            </w:pPr>
          </w:p>
        </w:tc>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160,958</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167,670</w:t>
            </w:r>
          </w:p>
        </w:tc>
      </w:tr>
      <w:tr>
        <w:trPr>
          <w:trHeight w:val="223"/>
        </w:trPr>
        <w:tc>
          <w:tcPr>
            <w:tcW w:w="20" w:type="dxa"/>
            <w:vAlign w:val="bottom"/>
          </w:tcPr>
          <w:p>
            <w:pPr>
              <w:spacing w:after="0"/>
              <w:rPr>
                <w:sz w:val="19"/>
                <w:szCs w:val="19"/>
                <w:color w:val="auto"/>
              </w:rPr>
            </w:pPr>
          </w:p>
        </w:tc>
        <w:tc>
          <w:tcPr>
            <w:tcW w:w="7060" w:type="dxa"/>
            <w:vAlign w:val="bottom"/>
            <w:gridSpan w:val="2"/>
          </w:tcPr>
          <w:p>
            <w:pPr>
              <w:ind w:left="20"/>
              <w:spacing w:after="0"/>
              <w:rPr>
                <w:sz w:val="20"/>
                <w:szCs w:val="20"/>
                <w:color w:val="auto"/>
              </w:rPr>
            </w:pPr>
            <w:r>
              <w:rPr>
                <w:rFonts w:ascii="Arial" w:cs="Arial" w:eastAsia="Arial" w:hAnsi="Arial"/>
                <w:sz w:val="18"/>
                <w:szCs w:val="18"/>
                <w:color w:val="auto"/>
              </w:rPr>
              <w:t>Total long-lived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355,953</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364,771</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4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bl>
    <w:p>
      <w:pPr>
        <w:spacing w:after="0" w:line="13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Americas includes the U.S., Canada, and Latin America (including the Caribbean).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20: Other Income,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Three Months Ended</w:t>
            </w:r>
          </w:p>
        </w:tc>
        <w:tc>
          <w:tcPr>
            <w:tcW w:w="9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4"/>
              </w:rPr>
              <w:t>2022</w:t>
            </w:r>
          </w:p>
        </w:tc>
      </w:tr>
      <w:tr>
        <w:trPr>
          <w:trHeight w:val="212"/>
        </w:trPr>
        <w:tc>
          <w:tcPr>
            <w:tcW w:w="20" w:type="dxa"/>
            <w:vAlign w:val="bottom"/>
          </w:tcPr>
          <w:p>
            <w:pPr>
              <w:spacing w:after="0"/>
              <w:rPr>
                <w:sz w:val="18"/>
                <w:szCs w:val="18"/>
                <w:color w:val="auto"/>
              </w:rPr>
            </w:pPr>
          </w:p>
        </w:tc>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gain from:</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interest rate swap (see Note 17)</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(4,489)</w:t>
            </w:r>
          </w:p>
        </w:tc>
        <w:tc>
          <w:tcPr>
            <w:tcW w:w="260" w:type="dxa"/>
            <w:vAlign w:val="bottom"/>
          </w:tcPr>
          <w:p>
            <w:pPr>
              <w:spacing w:after="0"/>
              <w:rPr>
                <w:sz w:val="23"/>
                <w:szCs w:val="23"/>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12,084</w:t>
            </w:r>
          </w:p>
        </w:tc>
      </w:tr>
      <w:tr>
        <w:trPr>
          <w:trHeight w:val="270"/>
        </w:trPr>
        <w:tc>
          <w:tcPr>
            <w:tcW w:w="20" w:type="dxa"/>
            <w:vAlign w:val="bottom"/>
          </w:tcPr>
          <w:p>
            <w:pPr>
              <w:spacing w:after="0"/>
              <w:rPr>
                <w:sz w:val="23"/>
                <w:szCs w:val="23"/>
                <w:color w:val="auto"/>
              </w:rPr>
            </w:pPr>
          </w:p>
        </w:tc>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Foreign exchange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w:t>
            </w:r>
          </w:p>
        </w:tc>
      </w:tr>
      <w:tr>
        <w:trPr>
          <w:trHeight w:val="270"/>
        </w:trPr>
        <w:tc>
          <w:tcPr>
            <w:tcW w:w="20" w:type="dxa"/>
            <w:vAlign w:val="bottom"/>
          </w:tcPr>
          <w:p>
            <w:pPr>
              <w:spacing w:after="0"/>
              <w:rPr>
                <w:sz w:val="23"/>
                <w:szCs w:val="23"/>
                <w:color w:val="auto"/>
              </w:rPr>
            </w:pPr>
          </w:p>
        </w:tc>
        <w:tc>
          <w:tcPr>
            <w:tcW w:w="7820" w:type="dxa"/>
            <w:vAlign w:val="bottom"/>
            <w:gridSpan w:val="2"/>
          </w:tcPr>
          <w:p>
            <w:pPr>
              <w:ind w:left="180"/>
              <w:spacing w:after="0"/>
              <w:rPr>
                <w:sz w:val="20"/>
                <w:szCs w:val="20"/>
                <w:color w:val="auto"/>
              </w:rPr>
            </w:pPr>
            <w:r>
              <w:rPr>
                <w:rFonts w:ascii="Arial" w:cs="Arial" w:eastAsia="Arial" w:hAnsi="Arial"/>
                <w:sz w:val="18"/>
                <w:szCs w:val="18"/>
                <w:color w:val="auto"/>
              </w:rPr>
              <w:t>Sale of aircraft (see Note 5)</w:t>
            </w:r>
          </w:p>
        </w:tc>
        <w:tc>
          <w:tcPr>
            <w:tcW w:w="940" w:type="dxa"/>
            <w:vAlign w:val="bottom"/>
          </w:tcPr>
          <w:p>
            <w:pPr>
              <w:spacing w:after="0"/>
              <w:rPr>
                <w:sz w:val="23"/>
                <w:szCs w:val="2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70"/>
        </w:trPr>
        <w:tc>
          <w:tcPr>
            <w:tcW w:w="20" w:type="dxa"/>
            <w:vAlign w:val="bottom"/>
          </w:tcPr>
          <w:p>
            <w:pPr>
              <w:spacing w:after="0"/>
              <w:rPr>
                <w:sz w:val="23"/>
                <w:szCs w:val="23"/>
                <w:color w:val="auto"/>
              </w:rPr>
            </w:pPr>
          </w:p>
        </w:tc>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acquisition contingent consideration (See Note 17)</w:t>
            </w:r>
          </w:p>
        </w:tc>
        <w:tc>
          <w:tcPr>
            <w:tcW w:w="9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color w:val="auto"/>
              </w:rPr>
              <w:t>Receipts (payments) related to interest rate swap</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1,920</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29"/>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color w:val="auto"/>
              </w:rPr>
              <w:t>Total other income, net</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10,347</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125" w:lineRule="exact"/>
        <w:rPr>
          <w:sz w:val="20"/>
          <w:szCs w:val="20"/>
          <w:color w:val="auto"/>
        </w:rPr>
      </w:pPr>
    </w:p>
    <w:p>
      <w:pPr>
        <w:jc w:val="both"/>
        <w:ind w:left="340" w:hanging="332"/>
        <w:spacing w:after="0" w:line="295" w:lineRule="auto"/>
        <w:tabs>
          <w:tab w:leader="none" w:pos="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Foreign exchange gain (loss)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gains (losses) of $861 and $(764) for the three months ended March 31, 2023 and 2022,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Net Income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issues certain performance-based RSUs determined to be participating securities because holders of such shares have non-forfeitable dividend rights in the event of the Company’s declaration of a dividend for common shares. As of March 31, 2023 and 2022, there were 387,237 and 305,785 participating securities outstanding, respectively.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Undistributed net income allocated to participating securities are subtracted from net income in determining basic net income attributable to common stockholders. Basic net income per share is computed by dividing basic net income attributable to common stockholders by the weighted average number of shares, inclusive of undistributed shares held in the DCP as phantom shares of the Company’s Class B Common Stock.</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For the Company’s diluted </w:t>
      </w:r>
      <w:r>
        <w:rPr>
          <w:rFonts w:ascii="Arial" w:cs="Arial" w:eastAsia="Arial" w:hAnsi="Arial"/>
          <w:sz w:val="18"/>
          <w:szCs w:val="18"/>
          <w:color w:val="000000"/>
        </w:rPr>
        <w:t>net income per share</w:t>
      </w:r>
      <w:r>
        <w:rPr>
          <w:rFonts w:ascii="Arial" w:cs="Arial" w:eastAsia="Arial" w:hAnsi="Arial"/>
          <w:sz w:val="18"/>
          <w:szCs w:val="18"/>
          <w:color w:val="212529"/>
        </w:rPr>
        <w:t xml:space="preserve"> numerator, interest expense, net of tax, attributable to the assumed conversion of the </w:t>
      </w:r>
      <w:r>
        <w:rPr>
          <w:rFonts w:ascii="Arial" w:cs="Arial" w:eastAsia="Arial" w:hAnsi="Arial"/>
          <w:sz w:val="18"/>
          <w:szCs w:val="18"/>
          <w:color w:val="000000"/>
        </w:rPr>
        <w:t>convertible senior</w:t>
      </w:r>
      <w:r>
        <w:rPr>
          <w:rFonts w:ascii="Arial" w:cs="Arial" w:eastAsia="Arial" w:hAnsi="Arial"/>
          <w:sz w:val="18"/>
          <w:szCs w:val="18"/>
          <w:color w:val="212529"/>
        </w:rPr>
        <w:t xml:space="preserve"> </w:t>
      </w:r>
      <w:r>
        <w:rPr>
          <w:rFonts w:ascii="Arial" w:cs="Arial" w:eastAsia="Arial" w:hAnsi="Arial"/>
          <w:sz w:val="18"/>
          <w:szCs w:val="18"/>
          <w:color w:val="000000"/>
        </w:rPr>
        <w:t xml:space="preserve">notes </w:t>
      </w:r>
      <w:r>
        <w:rPr>
          <w:rFonts w:ascii="Arial" w:cs="Arial" w:eastAsia="Arial" w:hAnsi="Arial"/>
          <w:sz w:val="18"/>
          <w:szCs w:val="18"/>
          <w:color w:val="212529"/>
        </w:rPr>
        <w:t>is added back to basic net income attributable to common stockholders. For the Company’s diluted</w:t>
      </w:r>
      <w:r>
        <w:rPr>
          <w:rFonts w:ascii="Arial" w:cs="Arial" w:eastAsia="Arial" w:hAnsi="Arial"/>
          <w:sz w:val="18"/>
          <w:szCs w:val="18"/>
          <w:color w:val="000000"/>
        </w:rPr>
        <w:t xml:space="preserve"> net income per share </w:t>
      </w:r>
      <w:r>
        <w:rPr>
          <w:rFonts w:ascii="Arial" w:cs="Arial" w:eastAsia="Arial" w:hAnsi="Arial"/>
          <w:sz w:val="18"/>
          <w:szCs w:val="18"/>
          <w:color w:val="212529"/>
        </w:rPr>
        <w:t>denominator, the basic</w:t>
      </w:r>
      <w:r>
        <w:rPr>
          <w:rFonts w:ascii="Arial" w:cs="Arial" w:eastAsia="Arial" w:hAnsi="Arial"/>
          <w:sz w:val="18"/>
          <w:szCs w:val="18"/>
          <w:color w:val="000000"/>
        </w:rPr>
        <w:t xml:space="preserve"> </w:t>
      </w:r>
      <w:r>
        <w:rPr>
          <w:rFonts w:ascii="Arial" w:cs="Arial" w:eastAsia="Arial" w:hAnsi="Arial"/>
          <w:sz w:val="18"/>
          <w:szCs w:val="18"/>
          <w:color w:val="212529"/>
        </w:rPr>
        <w:t xml:space="preserve">weighted average number of shares is adjusted for the effect of dilutive securities, including awards under the Company’s equity compensation plans and ESPP, and for the dilutive </w:t>
      </w:r>
      <w:r>
        <w:rPr>
          <w:rFonts w:ascii="Arial" w:cs="Arial" w:eastAsia="Arial" w:hAnsi="Arial"/>
          <w:sz w:val="18"/>
          <w:szCs w:val="18"/>
          <w:color w:val="000000"/>
        </w:rPr>
        <w:t>effect of the assumed conversion of the convertible senior notes.</w:t>
      </w:r>
      <w:r>
        <w:rPr>
          <w:rFonts w:ascii="Arial" w:cs="Arial" w:eastAsia="Arial" w:hAnsi="Arial"/>
          <w:sz w:val="18"/>
          <w:szCs w:val="18"/>
          <w:color w:val="212529"/>
        </w:rPr>
        <w:t xml:space="preserve"> Diluted </w:t>
      </w:r>
      <w:r>
        <w:rPr>
          <w:rFonts w:ascii="Arial" w:cs="Arial" w:eastAsia="Arial" w:hAnsi="Arial"/>
          <w:sz w:val="18"/>
          <w:szCs w:val="18"/>
          <w:color w:val="000000"/>
        </w:rPr>
        <w:t>net income per share</w:t>
      </w:r>
      <w:r>
        <w:rPr>
          <w:rFonts w:ascii="Arial" w:cs="Arial" w:eastAsia="Arial" w:hAnsi="Arial"/>
          <w:sz w:val="18"/>
          <w:szCs w:val="18"/>
          <w:color w:val="212529"/>
        </w:rPr>
        <w:t xml:space="preserve"> attributable to common stockholders is computed by dividing diluted net </w:t>
      </w:r>
      <w:r>
        <w:rPr>
          <w:rFonts w:ascii="Arial" w:cs="Arial" w:eastAsia="Arial" w:hAnsi="Arial"/>
          <w:sz w:val="18"/>
          <w:szCs w:val="18"/>
          <w:color w:val="000000"/>
        </w:rPr>
        <w:t>income</w:t>
      </w:r>
      <w:r>
        <w:rPr>
          <w:rFonts w:ascii="Arial" w:cs="Arial" w:eastAsia="Arial" w:hAnsi="Arial"/>
          <w:sz w:val="18"/>
          <w:szCs w:val="18"/>
          <w:color w:val="212529"/>
        </w:rPr>
        <w:t xml:space="preserve"> attributable to common stockholders by the weighted average number of fully diluted common shares.</w:t>
      </w:r>
    </w:p>
    <w:p>
      <w:pPr>
        <w:spacing w:after="0" w:line="192"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net income per share would not differ under the two</w:t>
      </w:r>
      <w:r>
        <w:rPr>
          <w:rFonts w:ascii="MS PGothic" w:cs="MS PGothic" w:eastAsia="MS PGothic" w:hAnsi="MS PGothic"/>
          <w:sz w:val="18"/>
          <w:szCs w:val="18"/>
          <w:color w:val="auto"/>
        </w:rPr>
        <w:t>‑</w:t>
      </w:r>
      <w:r>
        <w:rPr>
          <w:rFonts w:ascii="Arial" w:cs="Arial" w:eastAsia="Arial" w:hAnsi="Arial"/>
          <w:sz w:val="18"/>
          <w:szCs w:val="18"/>
          <w:color w:val="auto"/>
        </w:rPr>
        <w:t>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details of basic and diluted net income per share are as follows</w:t>
      </w:r>
      <w:r>
        <w:rPr>
          <w:rFonts w:ascii="Arial" w:cs="Arial" w:eastAsia="Arial" w:hAnsi="Arial"/>
          <w:sz w:val="18"/>
          <w:szCs w:val="18"/>
          <w:color w:val="212529"/>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8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9"/>
                <w:szCs w:val="19"/>
                <w:color w:val="auto"/>
              </w:rPr>
            </w:pPr>
          </w:p>
        </w:tc>
      </w:tr>
      <w:tr>
        <w:trPr>
          <w:trHeight w:val="210"/>
        </w:trPr>
        <w:tc>
          <w:tcPr>
            <w:tcW w:w="8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r>
      <w:tr>
        <w:trPr>
          <w:trHeight w:val="212"/>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45,490</w:t>
            </w:r>
          </w:p>
        </w:tc>
        <w:tc>
          <w:tcPr>
            <w:tcW w:w="16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56,388</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participating securities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812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 basic</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45,471</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56,379</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 of tax, attributable to assumed conversion of convertible senior notes</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r>
      <w:tr>
        <w:trPr>
          <w:trHeight w:val="223"/>
        </w:trPr>
        <w:tc>
          <w:tcPr>
            <w:tcW w:w="8120" w:type="dxa"/>
            <w:vAlign w:val="bottom"/>
          </w:tcPr>
          <w:p>
            <w:pPr>
              <w:ind w:left="360"/>
              <w:spacing w:after="0"/>
              <w:rPr>
                <w:sz w:val="20"/>
                <w:szCs w:val="20"/>
                <w:color w:val="auto"/>
              </w:rPr>
            </w:pPr>
            <w:r>
              <w:rPr>
                <w:rFonts w:ascii="Arial" w:cs="Arial" w:eastAsia="Arial" w:hAnsi="Arial"/>
                <w:sz w:val="18"/>
                <w:szCs w:val="18"/>
                <w:color w:val="auto"/>
              </w:rPr>
              <w:t>Net income attributable to Class A and Class B common stockholders,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47,188</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58,074</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8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310,758,802</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307,969,672</w:t>
            </w:r>
          </w:p>
        </w:tc>
      </w:tr>
      <w:tr>
        <w:trPr>
          <w:trHeight w:val="270"/>
        </w:trPr>
        <w:tc>
          <w:tcPr>
            <w:tcW w:w="8120" w:type="dxa"/>
            <w:vAlign w:val="bottom"/>
          </w:tcPr>
          <w:p>
            <w:pPr>
              <w:ind w:left="180"/>
              <w:spacing w:after="0"/>
              <w:rPr>
                <w:sz w:val="20"/>
                <w:szCs w:val="20"/>
                <w:color w:val="auto"/>
              </w:rPr>
            </w:pPr>
            <w:r>
              <w:rPr>
                <w:rFonts w:ascii="Arial" w:cs="Arial" w:eastAsia="Arial" w:hAnsi="Arial"/>
                <w:sz w:val="18"/>
                <w:szCs w:val="18"/>
                <w:color w:val="auto"/>
              </w:rPr>
              <w:t>Dilutive effect of stock options, restricted stock, and RSUs</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2,844,855</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5,542,252</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ESPP</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w:t>
            </w: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150,709</w:t>
            </w:r>
          </w:p>
        </w:tc>
      </w:tr>
      <w:tr>
        <w:trPr>
          <w:trHeight w:val="270"/>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Dilutive effect of assumed conversion of convertible senior notes</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17,633,786</w:t>
            </w:r>
          </w:p>
        </w:tc>
        <w:tc>
          <w:tcPr>
            <w:tcW w:w="1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17,667,623</w:t>
            </w:r>
          </w:p>
        </w:tc>
      </w:tr>
      <w:tr>
        <w:trPr>
          <w:trHeight w:val="248"/>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331,251,884</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331,330,256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4"/>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20" w:type="dxa"/>
            <w:vAlign w:val="bottom"/>
          </w:tcPr>
          <w:p>
            <w:pPr>
              <w:ind w:left="20"/>
              <w:spacing w:after="0" w:line="203" w:lineRule="exact"/>
              <w:rPr>
                <w:sz w:val="20"/>
                <w:szCs w:val="20"/>
                <w:color w:val="auto"/>
              </w:rPr>
            </w:pPr>
            <w:r>
              <w:rPr>
                <w:rFonts w:ascii="Arial" w:cs="Arial" w:eastAsia="Arial" w:hAnsi="Arial"/>
                <w:sz w:val="18"/>
                <w:szCs w:val="18"/>
                <w:color w:val="auto"/>
              </w:rPr>
              <w:t>Net income per share, 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r>
      <w:tr>
        <w:trPr>
          <w:trHeight w:val="21"/>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following potential common shares were excluded from the calculation of diluted net income per share attributable to common stockholders because their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for the periods presented:</w:t>
      </w:r>
    </w:p>
    <w:p>
      <w:pPr>
        <w:spacing w:after="0" w:line="244"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87,388</w:t>
            </w:r>
          </w:p>
        </w:tc>
        <w:tc>
          <w:tcPr>
            <w:tcW w:w="14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1,282,161</w:t>
            </w:r>
          </w:p>
        </w:tc>
      </w:tr>
      <w:tr>
        <w:trPr>
          <w:trHeight w:val="223"/>
        </w:trPr>
        <w:tc>
          <w:tcPr>
            <w:tcW w:w="8980" w:type="dxa"/>
            <w:vAlign w:val="bottom"/>
            <w:gridSpan w:val="2"/>
          </w:tcPr>
          <w:p>
            <w:pPr>
              <w:ind w:left="20"/>
              <w:spacing w:after="0"/>
              <w:rPr>
                <w:sz w:val="20"/>
                <w:szCs w:val="20"/>
                <w:color w:val="auto"/>
              </w:rPr>
            </w:pPr>
            <w:r>
              <w:rPr>
                <w:rFonts w:ascii="Arial" w:cs="Arial" w:eastAsia="Arial" w:hAnsi="Arial"/>
                <w:sz w:val="18"/>
                <w:szCs w:val="18"/>
                <w:color w:val="auto"/>
              </w:rPr>
              <w:t>Total anti-dilutive securities</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87,388</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1,282,161</w:t>
            </w:r>
          </w:p>
        </w:tc>
      </w:tr>
      <w:tr>
        <w:trPr>
          <w:trHeight w:val="20"/>
        </w:trPr>
        <w:tc>
          <w:tcPr>
            <w:tcW w:w="8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notes thereto appearing in Part I, Item 1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with our audited consolidated financial statements and notes thereto included in our 2022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leading global provider of software for infrastructure engineering, and enable infrastructure professionals and their organizations, by “going digital” through our software and cloud services offerings, to better design, build, and operate better infrastructure. Our users engineer, construct, and operate projects and assets across the following infrastructure sectors: public works/utilities, resources, industrial, and commercial/facilities.</w:t>
      </w:r>
    </w:p>
    <w:p>
      <w:pPr>
        <w:spacing w:after="0" w:line="165"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Our enduring commitment is to develop and support the most comprehensive portfolio of integrated software offerings across professional disciplines, project and asset lifecycles, infrastructure sectors, and geographies. We deliver our solutions via on</w:t>
      </w:r>
      <w:r>
        <w:rPr>
          <w:rFonts w:ascii="MS PGothic" w:cs="MS PGothic" w:eastAsia="MS PGothic" w:hAnsi="MS PGothic"/>
          <w:sz w:val="17"/>
          <w:szCs w:val="17"/>
          <w:color w:val="auto"/>
        </w:rPr>
        <w:t>‑</w:t>
      </w:r>
      <w:r>
        <w:rPr>
          <w:rFonts w:ascii="Arial" w:cs="Arial" w:eastAsia="Arial" w:hAnsi="Arial"/>
          <w:sz w:val="17"/>
          <w:szCs w:val="17"/>
          <w:color w:val="auto"/>
        </w:rPr>
        <w:t>premises, cloud, and hybrid environments. Our software enables digital workflows across engineering disciplines, across distributed project teams, and from offices to the field.</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offerings, in particular our infrastructure digital twin solutions, empower the achievement of sustainable development goals by helping our users – infrastructure professionals – realize outcomes that are more sustainable and resilient.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70" w:lineRule="exact"/>
        <w:rPr>
          <w:sz w:val="20"/>
          <w:szCs w:val="20"/>
          <w:color w:val="auto"/>
        </w:rPr>
      </w:pPr>
    </w:p>
    <w:p>
      <w:pPr>
        <w:jc w:val="center"/>
        <w:ind w:left="794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left="79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20320</wp:posOffset>
            </wp:positionV>
            <wp:extent cx="2057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6" w:lineRule="exact"/>
        <w:rPr>
          <w:sz w:val="20"/>
          <w:szCs w:val="20"/>
          <w:color w:val="auto"/>
        </w:rPr>
      </w:pPr>
    </w:p>
    <w:p>
      <w:pPr>
        <w:jc w:val="both"/>
        <w:ind w:left="8560"/>
        <w:spacing w:after="0"/>
        <w:tabs>
          <w:tab w:leader="none" w:pos="1028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ectPr>
          <w:pgSz w:w="11900" w:h="16838" w:orient="portrait"/>
          <w:cols w:equalWidth="0" w:num="1">
            <w:col w:w="11220"/>
          </w:cols>
          <w:pgMar w:left="320" w:top="1417" w:right="359" w:bottom="1440" w:gutter="0" w:footer="0" w:header="0"/>
        </w:sectPr>
      </w:pP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Subscriptions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Perpetual licenses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Subscriptions and licenses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Services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revenues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revenues:</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Cost of subscriptions and licenses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 of services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277,845</w:t>
            </w:r>
          </w:p>
        </w:tc>
        <w:tc>
          <w:tcPr>
            <w:tcW w:w="24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241,233</w:t>
            </w:r>
          </w:p>
        </w:tc>
      </w:tr>
      <w:tr>
        <w:trPr>
          <w:trHeight w:val="270"/>
        </w:trPr>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24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r>
      <w:tr>
        <w:trPr>
          <w:trHeight w:val="250"/>
        </w:trPr>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287,392</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251,438</w:t>
            </w:r>
          </w:p>
        </w:tc>
      </w:tr>
      <w:tr>
        <w:trPr>
          <w:trHeight w:val="270"/>
        </w:trPr>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27,019</w:t>
            </w:r>
          </w:p>
        </w:tc>
        <w:tc>
          <w:tcPr>
            <w:tcW w:w="24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24,079</w:t>
            </w:r>
          </w:p>
        </w:tc>
      </w:tr>
      <w:tr>
        <w:trPr>
          <w:trHeight w:val="250"/>
        </w:trPr>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314,411</w:t>
            </w:r>
          </w:p>
        </w:tc>
        <w:tc>
          <w:tcPr>
            <w:tcW w:w="2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275,517</w:t>
            </w:r>
          </w:p>
        </w:tc>
      </w:tr>
      <w:tr>
        <w:trPr>
          <w:trHeight w:val="479"/>
        </w:trPr>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40,931</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33,727</w:t>
            </w:r>
          </w:p>
        </w:tc>
      </w:tr>
      <w:tr>
        <w:trPr>
          <w:trHeight w:val="270"/>
        </w:trPr>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26,253</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-5044440</wp:posOffset>
            </wp:positionH>
            <wp:positionV relativeFrom="paragraph">
              <wp:posOffset>-1173480</wp:posOffset>
            </wp:positionV>
            <wp:extent cx="710628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-830580</wp:posOffset>
            </wp:positionV>
            <wp:extent cx="710628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-487680</wp:posOffset>
            </wp:positionV>
            <wp:extent cx="710628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-170815</wp:posOffset>
            </wp:positionV>
            <wp:extent cx="710628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-1490980</wp:posOffset>
            </wp:positionV>
            <wp:extent cx="7106285"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60" w:space="720"/>
            <w:col w:w="3240"/>
          </w:cols>
          <w:pgMar w:left="320" w:top="1417" w:right="359" w:bottom="1440" w:gutter="0" w:footer="0" w:header="0"/>
          <w:type w:val="continuous"/>
        </w:sectPr>
      </w:pPr>
    </w:p>
    <w:tbl>
      <w:tblPr>
        <w:tblLayout w:type="fixed"/>
        <w:tblInd w:w="40" w:type="dxa"/>
        <w:tblCellMar>
          <w:top w:w="0" w:type="dxa"/>
          <w:left w:w="0" w:type="dxa"/>
          <w:bottom w:w="0" w:type="dxa"/>
          <w:right w:w="0" w:type="dxa"/>
        </w:tblCellMar>
      </w:tblPr>
      <w:tr>
        <w:trPr>
          <w:trHeight w:val="250"/>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67,184</w:t>
            </w: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55,785</w:t>
            </w:r>
          </w:p>
        </w:tc>
        <w:tc>
          <w:tcPr>
            <w:tcW w:w="0" w:type="dxa"/>
            <w:vAlign w:val="bottom"/>
          </w:tcPr>
          <w:p>
            <w:pPr>
              <w:spacing w:after="0"/>
              <w:rPr>
                <w:sz w:val="1"/>
                <w:szCs w:val="1"/>
                <w:color w:val="auto"/>
              </w:rPr>
            </w:pPr>
          </w:p>
        </w:tc>
      </w:tr>
      <w:tr>
        <w:trPr>
          <w:trHeight w:val="250"/>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247,227</w:t>
            </w:r>
          </w:p>
        </w:tc>
        <w:tc>
          <w:tcPr>
            <w:tcW w:w="2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219,732</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20"/>
                <w:szCs w:val="20"/>
                <w:color w:val="auto"/>
              </w:rPr>
            </w:pPr>
            <w:r>
              <w:rPr>
                <w:rFonts w:ascii="Arial" w:cs="Arial" w:eastAsia="Arial" w:hAnsi="Arial"/>
                <w:sz w:val="18"/>
                <w:szCs w:val="18"/>
                <w:color w:val="auto"/>
              </w:rPr>
              <w:t>Operating expense (income):</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67,800</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61,273</w:t>
            </w:r>
          </w:p>
        </w:tc>
        <w:tc>
          <w:tcPr>
            <w:tcW w:w="0" w:type="dxa"/>
            <w:vAlign w:val="bottom"/>
          </w:tcPr>
          <w:p>
            <w:pPr>
              <w:spacing w:after="0"/>
              <w:rPr>
                <w:sz w:val="1"/>
                <w:szCs w:val="1"/>
                <w:color w:val="auto"/>
              </w:rPr>
            </w:pPr>
          </w:p>
        </w:tc>
      </w:tr>
      <w:tr>
        <w:trPr>
          <w:trHeight w:val="270"/>
        </w:trPr>
        <w:tc>
          <w:tcPr>
            <w:tcW w:w="794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52,141</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45,945</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46,807</w:t>
            </w: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51,154</w:t>
            </w:r>
          </w:p>
        </w:tc>
        <w:tc>
          <w:tcPr>
            <w:tcW w:w="0" w:type="dxa"/>
            <w:vAlign w:val="bottom"/>
          </w:tcPr>
          <w:p>
            <w:pPr>
              <w:spacing w:after="0"/>
              <w:rPr>
                <w:sz w:val="1"/>
                <w:szCs w:val="1"/>
                <w:color w:val="auto"/>
              </w:rPr>
            </w:pPr>
          </w:p>
        </w:tc>
      </w:tr>
      <w:tr>
        <w:trPr>
          <w:trHeight w:val="270"/>
        </w:trPr>
        <w:tc>
          <w:tcPr>
            <w:tcW w:w="7940" w:type="dxa"/>
            <w:vAlign w:val="bottom"/>
          </w:tcPr>
          <w:p>
            <w:pPr>
              <w:ind w:left="160"/>
              <w:spacing w:after="0"/>
              <w:rPr>
                <w:sz w:val="20"/>
                <w:szCs w:val="20"/>
                <w:color w:val="auto"/>
              </w:rPr>
            </w:pPr>
            <w:r>
              <w:rPr>
                <w:rFonts w:ascii="Arial" w:cs="Arial" w:eastAsia="Arial" w:hAnsi="Arial"/>
                <w:sz w:val="18"/>
                <w:szCs w:val="18"/>
                <w:color w:val="auto"/>
              </w:rPr>
              <w:t>Deferred compensation plan</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4,146</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2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181,442</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163,140</w:t>
            </w:r>
          </w:p>
        </w:tc>
        <w:tc>
          <w:tcPr>
            <w:tcW w:w="0" w:type="dxa"/>
            <w:vAlign w:val="bottom"/>
          </w:tcPr>
          <w:p>
            <w:pPr>
              <w:spacing w:after="0"/>
              <w:rPr>
                <w:sz w:val="1"/>
                <w:szCs w:val="1"/>
                <w:color w:val="auto"/>
              </w:rPr>
            </w:pPr>
          </w:p>
        </w:tc>
      </w:tr>
      <w:tr>
        <w:trPr>
          <w:trHeight w:val="250"/>
        </w:trPr>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65,785</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0" w:type="dxa"/>
            <w:vAlign w:val="bottom"/>
          </w:tcPr>
          <w:p>
            <w:pPr>
              <w:spacing w:after="0"/>
              <w:rPr>
                <w:sz w:val="1"/>
                <w:szCs w:val="1"/>
                <w:color w:val="auto"/>
              </w:rPr>
            </w:pPr>
          </w:p>
        </w:tc>
      </w:tr>
      <w:tr>
        <w:trPr>
          <w:trHeight w:val="229"/>
        </w:trPr>
        <w:tc>
          <w:tcPr>
            <w:tcW w:w="7940" w:type="dxa"/>
            <w:vAlign w:val="bottom"/>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(11,092)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(6,748)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50"/>
        </w:trPr>
        <w:tc>
          <w:tcPr>
            <w:tcW w:w="7940" w:type="dxa"/>
            <w:vAlign w:val="bottom"/>
          </w:tcPr>
          <w:p>
            <w:pPr>
              <w:ind w:left="3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54,982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60,191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18"/>
                <w:szCs w:val="18"/>
                <w:color w:val="auto"/>
              </w:rPr>
              <w:t>Loss from investments accounted for using the equity method, net of tax</w:t>
            </w:r>
          </w:p>
        </w:tc>
        <w:tc>
          <w:tcPr>
            <w:tcW w:w="32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8"/>
        </w:trPr>
        <w:tc>
          <w:tcPr>
            <w:tcW w:w="7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 share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per share, 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Net income per share,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24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shares, basic</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310,758,802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307,969,672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Weighted average shares,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331,251,884</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331,330,256</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Comparison</w:t>
            </w:r>
          </w:p>
        </w:tc>
        <w:tc>
          <w:tcPr>
            <w:tcW w:w="12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98"/>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78"/>
              <w:spacing w:after="0"/>
              <w:rPr>
                <w:sz w:val="20"/>
                <w:szCs w:val="20"/>
                <w:color w:val="auto"/>
              </w:rPr>
            </w:pPr>
            <w:r>
              <w:rPr>
                <w:rFonts w:ascii="Arial" w:cs="Arial" w:eastAsia="Arial" w:hAnsi="Arial"/>
                <w:sz w:val="16"/>
                <w:szCs w:val="16"/>
                <w:b w:val="1"/>
                <w:bCs w:val="1"/>
                <w:color w:val="auto"/>
              </w:rPr>
              <w:t>Currency</w:t>
            </w: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12"/>
              <w:spacing w:after="0"/>
              <w:rPr>
                <w:sz w:val="20"/>
                <w:szCs w:val="20"/>
                <w:color w:val="auto"/>
              </w:rPr>
            </w:pPr>
            <w:r>
              <w:rPr>
                <w:rFonts w:ascii="Arial" w:cs="Arial" w:eastAsia="Arial" w:hAnsi="Arial"/>
                <w:sz w:val="16"/>
                <w:szCs w:val="16"/>
                <w:b w:val="1"/>
                <w:bCs w:val="1"/>
                <w:color w:val="auto"/>
              </w:rPr>
              <w:t>Amount</w:t>
            </w:r>
          </w:p>
        </w:tc>
        <w:tc>
          <w:tcPr>
            <w:tcW w:w="134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200" w:type="dxa"/>
            <w:vAlign w:val="bottom"/>
          </w:tcPr>
          <w:p>
            <w:pPr>
              <w:jc w:val="right"/>
              <w:ind w:right="318"/>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r>
      <w:tr>
        <w:trPr>
          <w:trHeight w:val="223"/>
        </w:trPr>
        <w:tc>
          <w:tcPr>
            <w:tcW w:w="20" w:type="dxa"/>
            <w:vAlign w:val="bottom"/>
          </w:tcPr>
          <w:p>
            <w:pPr>
              <w:spacing w:after="0"/>
              <w:rPr>
                <w:sz w:val="19"/>
                <w:szCs w:val="19"/>
                <w:color w:val="auto"/>
              </w:rPr>
            </w:pPr>
          </w:p>
        </w:tc>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Subscriptions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277,845</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241,233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36,612</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r>
      <w:tr>
        <w:trPr>
          <w:trHeight w:val="229"/>
        </w:trPr>
        <w:tc>
          <w:tcPr>
            <w:tcW w:w="20" w:type="dxa"/>
            <w:vAlign w:val="bottom"/>
          </w:tcPr>
          <w:p>
            <w:pPr>
              <w:spacing w:after="0"/>
              <w:rPr>
                <w:sz w:val="19"/>
                <w:szCs w:val="19"/>
                <w:color w:val="auto"/>
              </w:rPr>
            </w:pPr>
          </w:p>
        </w:tc>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Perpetual licenses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9,547</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(6.4 %)</w:t>
            </w: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(3.1 %)</w:t>
            </w:r>
          </w:p>
        </w:tc>
      </w:tr>
      <w:tr>
        <w:trPr>
          <w:trHeight w:val="250"/>
        </w:trPr>
        <w:tc>
          <w:tcPr>
            <w:tcW w:w="20" w:type="dxa"/>
            <w:vAlign w:val="bottom"/>
          </w:tcPr>
          <w:p>
            <w:pPr>
              <w:spacing w:after="0"/>
              <w:rPr>
                <w:sz w:val="21"/>
                <w:szCs w:val="21"/>
                <w:color w:val="auto"/>
              </w:rPr>
            </w:pPr>
          </w:p>
        </w:tc>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Subscriptions and licenses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287,392</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251,438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27,019</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12.2 %</w:t>
            </w: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17.3 %</w:t>
            </w:r>
          </w:p>
        </w:tc>
      </w:tr>
      <w:tr>
        <w:trPr>
          <w:trHeight w:val="248"/>
        </w:trPr>
        <w:tc>
          <w:tcPr>
            <w:tcW w:w="20" w:type="dxa"/>
            <w:vAlign w:val="bottom"/>
          </w:tcPr>
          <w:p>
            <w:pPr>
              <w:spacing w:after="0"/>
              <w:rPr>
                <w:sz w:val="21"/>
                <w:szCs w:val="21"/>
                <w:color w:val="auto"/>
              </w:rPr>
            </w:pPr>
          </w:p>
        </w:tc>
        <w:tc>
          <w:tcPr>
            <w:tcW w:w="4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314,411</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275,517</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0"/>
        </w:trPr>
        <w:tc>
          <w:tcPr>
            <w:tcW w:w="2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125" w:lineRule="exact"/>
        <w:rPr>
          <w:sz w:val="20"/>
          <w:szCs w:val="20"/>
          <w:color w:val="auto"/>
        </w:rPr>
      </w:pPr>
    </w:p>
    <w:p>
      <w:pPr>
        <w:ind w:left="340" w:hanging="332"/>
        <w:spacing w:after="0" w:line="293"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Constant currency is a non-GAAP financial measure. Refer to the “Non-GAAP Financial Measures” section for additional information, including our definition and our use of constant currency.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total revenues for the three months ended March 31, 2023 was primarily driven by increases in subscriptions and services revenues, partially offset by a decrease in perpetual licenses revenues.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Subscriptions</w:t>
      </w:r>
      <w:r>
        <w:rPr>
          <w:rFonts w:ascii="Arial" w:cs="Arial" w:eastAsia="Arial" w:hAnsi="Arial"/>
          <w:sz w:val="18"/>
          <w:szCs w:val="18"/>
          <w:color w:val="auto"/>
        </w:rPr>
        <w:t>. For the three months ended March 31, 2023, the increase in subscriptions revenues was primarily driven by improvements in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approximately $32,300 ($39,000 on a constant currency basis) and the impact from our platform acquisition of approximately $4,300. Our business performance excludes the impact of our platform acquisitions and includes the impact from programmatic acquisitions, which generally are immaterial, individually and in the aggregate. The platform acquisition impact relates to our acquisition of PLS and is inclusive of PLS’ organic performance.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improvements in business performance were primarily driven by expansion from accounts with revenues in the prior period (“existing accounts”), and growth of 3% attributable to new accounts, most notably smaller- and medium-sized accounts. Improvements in business performance for the three months ended March 31, 2023 were led by our geoprofessional applications, civil and structural engineering applications, and our Enterprise Systems for project delivery.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Perpetual licenses</w:t>
      </w:r>
      <w:r>
        <w:rPr>
          <w:rFonts w:ascii="Arial" w:cs="Arial" w:eastAsia="Arial" w:hAnsi="Arial"/>
          <w:sz w:val="18"/>
          <w:szCs w:val="18"/>
          <w:color w:val="auto"/>
        </w:rPr>
        <w:t>. For the three months ended March 31, 2023, the decrease in perpetual licenses revenues was primarily driven by a decline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approximately $700.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For the three months ended March 31, 2023, the increase in services revenues was primarily driven by improvements in our business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$2,900 ($4,200 on a constant currency basis).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improvements in business performance were primarily driven by contributions from Cohesive digital integrator services of approximately $3,600 ($4,600 on a constant currency basis), partially offset by the ongoing transition of historically classified services revenues into subscriptions revenues for accounts converting to our E365 subscription offering with embedded Success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Revenues by Geographic Region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Revenue to external customers is attributed to individual countries based upon the location of the customer. Revenues by geographic region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auto"/>
              </w:rPr>
              <w:t>Currency</w:t>
            </w: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514"/>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299"/>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r>
      <w:tr>
        <w:trPr>
          <w:trHeight w:val="223"/>
        </w:trPr>
        <w:tc>
          <w:tcPr>
            <w:tcW w:w="20" w:type="dxa"/>
            <w:vAlign w:val="bottom"/>
          </w:tcPr>
          <w:p>
            <w:pPr>
              <w:spacing w:after="0"/>
              <w:rPr>
                <w:sz w:val="19"/>
                <w:szCs w:val="19"/>
                <w:color w:val="auto"/>
              </w:rPr>
            </w:pPr>
          </w:p>
        </w:tc>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168,345</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154,260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14,085</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70"/>
        </w:trPr>
        <w:tc>
          <w:tcPr>
            <w:tcW w:w="20" w:type="dxa"/>
            <w:vAlign w:val="bottom"/>
          </w:tcPr>
          <w:p>
            <w:pPr>
              <w:spacing w:after="0"/>
              <w:rPr>
                <w:sz w:val="23"/>
                <w:szCs w:val="23"/>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92,832</w:t>
            </w: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77,480</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15,352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19.8 %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26.3 %</w:t>
            </w:r>
          </w:p>
        </w:tc>
      </w:tr>
      <w:tr>
        <w:trPr>
          <w:trHeight w:val="229"/>
        </w:trPr>
        <w:tc>
          <w:tcPr>
            <w:tcW w:w="20" w:type="dxa"/>
            <w:vAlign w:val="bottom"/>
          </w:tcPr>
          <w:p>
            <w:pPr>
              <w:spacing w:after="0"/>
              <w:rPr>
                <w:sz w:val="19"/>
                <w:szCs w:val="19"/>
                <w:color w:val="auto"/>
              </w:rPr>
            </w:pPr>
          </w:p>
        </w:tc>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53,234</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27.8 %</w:t>
            </w:r>
          </w:p>
        </w:tc>
      </w:tr>
      <w:tr>
        <w:trPr>
          <w:trHeight w:val="223"/>
        </w:trPr>
        <w:tc>
          <w:tcPr>
            <w:tcW w:w="20" w:type="dxa"/>
            <w:vAlign w:val="bottom"/>
          </w:tcPr>
          <w:p>
            <w:pPr>
              <w:spacing w:after="0"/>
              <w:rPr>
                <w:sz w:val="19"/>
                <w:szCs w:val="19"/>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314,411</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275,517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14.1 %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17.1 %</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bl>
    <w:p>
      <w:pPr>
        <w:spacing w:after="0" w:line="125" w:lineRule="exact"/>
        <w:rPr>
          <w:sz w:val="20"/>
          <w:szCs w:val="20"/>
          <w:color w:val="auto"/>
        </w:rPr>
      </w:pPr>
    </w:p>
    <w:p>
      <w:pPr>
        <w:ind w:left="340" w:hanging="332"/>
        <w:spacing w:after="0" w:line="29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Constant currency is a non-GAAP financial measure. Refer to the “Non-GAAP Financial Measures” section for additional information, including our definition and our use of constant currency.</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Americas</w:t>
      </w:r>
      <w:r>
        <w:rPr>
          <w:rFonts w:ascii="Arial" w:cs="Arial" w:eastAsia="Arial" w:hAnsi="Arial"/>
          <w:sz w:val="16"/>
          <w:szCs w:val="16"/>
          <w:color w:val="auto"/>
        </w:rPr>
        <w:t>. For the three months ended March 31, 2023, the increase in revenues from the Americas was primarily driven by improvements in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approximately $10,400 ($11,000 on a constant currency basis) and the impact from our platform acquisition of approximately $3,700.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improvements in business performance were primarily due to expansion of our subscriptions revenues from existing accounts in the 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EMEA</w:t>
      </w:r>
      <w:r>
        <w:rPr>
          <w:rFonts w:ascii="Arial" w:cs="Arial" w:eastAsia="Arial" w:hAnsi="Arial"/>
          <w:sz w:val="18"/>
          <w:szCs w:val="18"/>
          <w:color w:val="auto"/>
        </w:rPr>
        <w:t>. For the three months ended March 31, 2023, the increase in revenues from EMEA was primarily driven by improvements in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approximately $14,900 ($19,900 on a constant currency basis).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improvements in business performance were primarily due to expansion of our subscriptions revenues from existing accounts in the U.K., and the Middle East and Africa, partially offset by reductions in Russia due to exiting our operations beginning in the second quarter of 2022.</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APAC. </w:t>
      </w:r>
      <w:r>
        <w:rPr>
          <w:rFonts w:ascii="Arial" w:cs="Arial" w:eastAsia="Arial" w:hAnsi="Arial"/>
          <w:sz w:val="18"/>
          <w:szCs w:val="18"/>
          <w:color w:val="auto"/>
        </w:rPr>
        <w:t>For the three months ended March 31, 2023, the increase in revenues from APAC was primarily driven by improvements in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approximately $9,300 ($12,000 on a constant currency basis).</w:t>
      </w:r>
    </w:p>
    <w:p>
      <w:pPr>
        <w:spacing w:after="0" w:line="170"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The improvements in business performance were primarily due to expansion of our subscriptions revenues from existing accounts in India, Australia, and Southeast Asia. While we have seen an increase in revenues in China for the three months ended March 31, 2023 compared to the same prior year period, future results in China remain uncertain as a result of continued geopolitical challenges the obstacles there to cloud</w:t>
      </w:r>
      <w:r>
        <w:rPr>
          <w:rFonts w:ascii="MS PGothic" w:cs="MS PGothic" w:eastAsia="MS PGothic" w:hAnsi="MS PGothic"/>
          <w:sz w:val="16"/>
          <w:szCs w:val="16"/>
          <w:color w:val="auto"/>
        </w:rPr>
        <w:t>‑</w:t>
      </w:r>
      <w:r>
        <w:rPr>
          <w:rFonts w:ascii="Arial" w:cs="Arial" w:eastAsia="Arial" w:hAnsi="Arial"/>
          <w:sz w:val="16"/>
          <w:szCs w:val="16"/>
          <w:color w:val="auto"/>
        </w:rPr>
        <w:t>deployed software, and the financial timing impact of the preference there for license sales, rather than subscriptions, of locally-developed solutions based on our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8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80"/>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53"/>
              <w:spacing w:after="0"/>
              <w:rPr>
                <w:sz w:val="20"/>
                <w:szCs w:val="20"/>
                <w:color w:val="auto"/>
              </w:rPr>
            </w:pPr>
            <w:r>
              <w:rPr>
                <w:rFonts w:ascii="Arial" w:cs="Arial" w:eastAsia="Arial" w:hAnsi="Arial"/>
                <w:sz w:val="16"/>
                <w:szCs w:val="16"/>
                <w:b w:val="1"/>
                <w:bCs w:val="1"/>
                <w:color w:val="auto"/>
              </w:rPr>
              <w:t>March 31,</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b w:val="1"/>
                <w:bCs w:val="1"/>
                <w:color w:val="auto"/>
              </w:rPr>
              <w:t>Currency</w:t>
            </w:r>
          </w:p>
        </w:tc>
      </w:tr>
      <w:tr>
        <w:trPr>
          <w:trHeight w:val="215"/>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300"/>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r>
      <w:tr>
        <w:trPr>
          <w:trHeight w:val="223"/>
        </w:trPr>
        <w:tc>
          <w:tcPr>
            <w:tcW w:w="40" w:type="dxa"/>
            <w:vAlign w:val="bottom"/>
          </w:tcPr>
          <w:p>
            <w:pPr>
              <w:spacing w:after="0"/>
              <w:rPr>
                <w:sz w:val="19"/>
                <w:szCs w:val="19"/>
                <w:color w:val="auto"/>
              </w:rPr>
            </w:pPr>
          </w:p>
        </w:tc>
        <w:tc>
          <w:tcPr>
            <w:tcW w:w="4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subscriptions and licenses</w:t>
            </w: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40,931</w:t>
            </w:r>
          </w:p>
        </w:tc>
        <w:tc>
          <w:tcPr>
            <w:tcW w:w="1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33,727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r>
      <w:tr>
        <w:trPr>
          <w:trHeight w:val="229"/>
        </w:trPr>
        <w:tc>
          <w:tcPr>
            <w:tcW w:w="40" w:type="dxa"/>
            <w:vAlign w:val="bottom"/>
          </w:tcPr>
          <w:p>
            <w:pPr>
              <w:spacing w:after="0"/>
              <w:rPr>
                <w:sz w:val="19"/>
                <w:szCs w:val="19"/>
                <w:color w:val="auto"/>
              </w:rPr>
            </w:pPr>
          </w:p>
        </w:tc>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services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26,253</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22,058</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19.0 %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25.8 %</w:t>
            </w:r>
          </w:p>
        </w:tc>
      </w:tr>
      <w:tr>
        <w:trPr>
          <w:trHeight w:val="248"/>
        </w:trPr>
        <w:tc>
          <w:tcPr>
            <w:tcW w:w="4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cost of revenues</w:t>
            </w: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67,184</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55,785</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w:t>
            </w:r>
          </w:p>
        </w:tc>
      </w:tr>
      <w:tr>
        <w:trPr>
          <w:trHeight w:val="20"/>
        </w:trPr>
        <w:tc>
          <w:tcPr>
            <w:tcW w:w="4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190"/>
        </w:trPr>
        <w:tc>
          <w:tcPr>
            <w:tcW w:w="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125" w:lineRule="exact"/>
        <w:rPr>
          <w:sz w:val="20"/>
          <w:szCs w:val="20"/>
          <w:color w:val="auto"/>
        </w:rPr>
      </w:pPr>
    </w:p>
    <w:p>
      <w:pPr>
        <w:ind w:left="340" w:hanging="332"/>
        <w:spacing w:after="0" w:line="293"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Constant currency is a non-GAAP financial measure. Refer to the “Non-GAAP Financial Measures” section for additional information, including our definition and our use of constant currency.</w:t>
      </w:r>
    </w:p>
    <w:p>
      <w:pPr>
        <w:spacing w:after="0" w:line="154"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i w:val="1"/>
          <w:iCs w:val="1"/>
          <w:color w:val="auto"/>
        </w:rPr>
        <w:t xml:space="preserve">Cost of subscriptions and licenses. </w:t>
      </w:r>
      <w:r>
        <w:rPr>
          <w:rFonts w:ascii="Arial" w:cs="Arial" w:eastAsia="Arial" w:hAnsi="Arial"/>
          <w:sz w:val="16"/>
          <w:szCs w:val="16"/>
          <w:color w:val="auto"/>
        </w:rPr>
        <w:t>For the three months ended March 31, 2023, on a constant currency basis, cost of subscriptions and licenses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in headcount</w:t>
      </w:r>
      <w:r>
        <w:rPr>
          <w:rFonts w:ascii="MS PGothic" w:cs="MS PGothic" w:eastAsia="MS PGothic" w:hAnsi="MS PGothic"/>
          <w:sz w:val="16"/>
          <w:szCs w:val="16"/>
          <w:color w:val="auto"/>
        </w:rPr>
        <w:t>‑</w:t>
      </w:r>
      <w:r>
        <w:rPr>
          <w:rFonts w:ascii="Arial" w:cs="Arial" w:eastAsia="Arial" w:hAnsi="Arial"/>
          <w:sz w:val="16"/>
          <w:szCs w:val="16"/>
          <w:color w:val="auto"/>
        </w:rPr>
        <w:t>related costs of approximately $4,500, mainly due to an increase in headcount and annual compensation costs, an increase in cloud</w:t>
      </w:r>
      <w:r>
        <w:rPr>
          <w:rFonts w:ascii="MS PGothic" w:cs="MS PGothic" w:eastAsia="MS PGothic" w:hAnsi="MS PGothic"/>
          <w:sz w:val="16"/>
          <w:szCs w:val="16"/>
          <w:color w:val="auto"/>
        </w:rPr>
        <w:t>‑</w:t>
      </w:r>
      <w:r>
        <w:rPr>
          <w:rFonts w:ascii="Arial" w:cs="Arial" w:eastAsia="Arial" w:hAnsi="Arial"/>
          <w:sz w:val="16"/>
          <w:szCs w:val="16"/>
          <w:color w:val="auto"/>
        </w:rPr>
        <w:t>related costs of approximately $2,100, and an increase in channel partner compensation of approximately $1,300.</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For the three months ended March 31, 2023, on a constant currency basis, cost of services increased primarily due to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headcount-related costs of approximately $5,400, mainly due to third-party personnel costs, and to a lesser extent, an increase in headcount and annual compensation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Comparison</w:t>
            </w:r>
          </w:p>
        </w:tc>
        <w:tc>
          <w:tcPr>
            <w:tcW w:w="12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r>
      <w:tr>
        <w:trPr>
          <w:trHeight w:val="215"/>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b w:val="1"/>
                <w:bCs w:val="1"/>
                <w:color w:val="auto"/>
              </w:rPr>
              <w:t>Amount</w:t>
            </w:r>
          </w:p>
        </w:tc>
        <w:tc>
          <w:tcPr>
            <w:tcW w:w="1340" w:type="dxa"/>
            <w:vAlign w:val="bottom"/>
            <w:gridSpan w:val="2"/>
          </w:tcPr>
          <w:p>
            <w:pPr>
              <w:jc w:val="center"/>
              <w:ind w:left="72"/>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200" w:type="dxa"/>
            <w:vAlign w:val="bottom"/>
          </w:tcPr>
          <w:p>
            <w:pPr>
              <w:jc w:val="right"/>
              <w:ind w:right="317"/>
              <w:spacing w:after="0" w:line="216"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r>
      <w:tr>
        <w:trPr>
          <w:trHeight w:val="223"/>
        </w:trPr>
        <w:tc>
          <w:tcPr>
            <w:tcW w:w="20" w:type="dxa"/>
            <w:vAlign w:val="bottom"/>
          </w:tcPr>
          <w:p>
            <w:pPr>
              <w:spacing w:after="0"/>
              <w:rPr>
                <w:sz w:val="19"/>
                <w:szCs w:val="19"/>
                <w:color w:val="auto"/>
              </w:rPr>
            </w:pPr>
          </w:p>
        </w:tc>
        <w:tc>
          <w:tcPr>
            <w:tcW w:w="4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67,800</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61,273</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r>
      <w:tr>
        <w:trPr>
          <w:trHeight w:val="230"/>
        </w:trPr>
        <w:tc>
          <w:tcPr>
            <w:tcW w:w="20" w:type="dxa"/>
            <w:vAlign w:val="bottom"/>
          </w:tcPr>
          <w:p>
            <w:pPr>
              <w:spacing w:after="0"/>
              <w:rPr>
                <w:sz w:val="19"/>
                <w:szCs w:val="19"/>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52,141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45,945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6,196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13.5 %</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17.3 %</w:t>
            </w:r>
          </w:p>
        </w:tc>
      </w:tr>
      <w:tr>
        <w:trPr>
          <w:trHeight w:val="230"/>
        </w:trPr>
        <w:tc>
          <w:tcPr>
            <w:tcW w:w="20" w:type="dxa"/>
            <w:vAlign w:val="bottom"/>
          </w:tcPr>
          <w:p>
            <w:pPr>
              <w:spacing w:after="0"/>
              <w:rPr>
                <w:sz w:val="19"/>
                <w:szCs w:val="19"/>
                <w:color w:val="auto"/>
              </w:rPr>
            </w:pP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20" w:type="dxa"/>
            <w:vAlign w:val="bottom"/>
          </w:tcPr>
          <w:p>
            <w:pPr>
              <w:spacing w:after="0"/>
              <w:rPr>
                <w:sz w:val="19"/>
                <w:szCs w:val="19"/>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9,284</w:t>
            </w:r>
          </w:p>
        </w:tc>
        <w:tc>
          <w:tcPr>
            <w:tcW w:w="160" w:type="dxa"/>
            <w:vAlign w:val="bottom"/>
          </w:tcPr>
          <w:p>
            <w:pPr>
              <w:spacing w:after="0"/>
              <w:rPr>
                <w:sz w:val="19"/>
                <w:szCs w:val="19"/>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rPr>
              <w:t>NM</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29"/>
        </w:trPr>
        <w:tc>
          <w:tcPr>
            <w:tcW w:w="20" w:type="dxa"/>
            <w:vAlign w:val="bottom"/>
          </w:tcPr>
          <w:p>
            <w:pPr>
              <w:spacing w:after="0"/>
              <w:rPr>
                <w:sz w:val="19"/>
                <w:szCs w:val="19"/>
                <w:color w:val="auto"/>
              </w:rPr>
            </w:pPr>
          </w:p>
        </w:tc>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23"/>
        </w:trPr>
        <w:tc>
          <w:tcPr>
            <w:tcW w:w="20" w:type="dxa"/>
            <w:vAlign w:val="bottom"/>
          </w:tcPr>
          <w:p>
            <w:pPr>
              <w:spacing w:after="0"/>
              <w:rPr>
                <w:sz w:val="19"/>
                <w:szCs w:val="19"/>
                <w:color w:val="auto"/>
              </w:rPr>
            </w:pPr>
          </w:p>
        </w:tc>
        <w:tc>
          <w:tcPr>
            <w:tcW w:w="404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181,442</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163,140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1"/>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Percentage changes that are considered not meaningful are denoted with NM.</w:t>
      </w:r>
    </w:p>
    <w:p>
      <w:pPr>
        <w:spacing w:after="0" w:line="73" w:lineRule="exact"/>
        <w:rPr>
          <w:sz w:val="20"/>
          <w:szCs w:val="20"/>
          <w:color w:val="auto"/>
        </w:rPr>
      </w:pPr>
    </w:p>
    <w:p>
      <w:pPr>
        <w:ind w:left="340" w:hanging="332"/>
        <w:spacing w:after="0" w:line="275"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Constant currency is a non-GAAP financial measure. Refer to the “Non-GAAP Financial Measures” section for additional information, including our definition and our use of constant currency.</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For the three months ended March 31, 2023, on a constant currency basis, research and development expenses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an increase in headcount-related costs of approximately $8,600, mainly due to an increase in headcount and annual compensation costs.</w:t>
      </w:r>
    </w:p>
    <w:p>
      <w:pPr>
        <w:spacing w:after="0" w:line="124"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For the three months ended March 31, 2023, on a constant currency basis, selling and marketing expenses increased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headcount-related costs of approximately $7,200, mainly due to an increase in headcount and annual compensation costs, and to a lesser extent, an increase in travel-related costs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jc w:val="both"/>
        <w:spacing w:after="0" w:line="218" w:lineRule="exact"/>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For the three months ended March 31, 2023, on a constant currency basis, general and administrative expenses decreased</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lower acquisition expenses of approximately $5,400 (acquisition expenses were $5,200 for the three months ended March 31, 2023 compared to $10,600 for the three months ended March 31, 2022), approximately $1,800 of other income recorded during the three months ended March 31, 2023 due to the continued wind down of our Russian entities since we exited operations beginning in the second quarter of 2022, and a decrease in facility-related costs of approximately $1,600. Partially offsetting these decreases were increases in headcount-related costs of approximately $7,000, mainly due to an increase in headcount and annual compensation costs, and to a lesser extent,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For the three months ended March 31, 2023, deferred compensation plan expense was $4,146 as compared to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 income of $5,138 for the three months ended March 31, 2022. These amounts were attributable to the marked to market impact on deferred compensation plan liability balances period over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Amortization of purchased intangibles. </w:t>
      </w:r>
      <w:r>
        <w:rPr>
          <w:rFonts w:ascii="Arial" w:cs="Arial" w:eastAsia="Arial" w:hAnsi="Arial"/>
          <w:sz w:val="18"/>
          <w:szCs w:val="18"/>
          <w:color w:val="auto"/>
        </w:rPr>
        <w:t>For the three months ended March 31, 2023, on a constant currency basis, amortization of purchased intangibles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primarily due to amortization from recently acquired purchased intangibles.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8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w w:val="98"/>
              </w:rPr>
              <w:t>Comparison</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6"/>
                <w:szCs w:val="16"/>
                <w:b w:val="1"/>
                <w:bCs w:val="1"/>
                <w:color w:val="auto"/>
              </w:rPr>
              <w:t>March 31,</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Amount</w:t>
            </w:r>
          </w:p>
        </w:tc>
        <w:tc>
          <w:tcPr>
            <w:tcW w:w="740" w:type="dxa"/>
            <w:vAlign w:val="bottom"/>
            <w:vMerge w:val="restart"/>
          </w:tcPr>
          <w:p>
            <w:pPr>
              <w:jc w:val="right"/>
              <w:ind w:right="41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5"/>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(11,321)</w:t>
            </w:r>
          </w:p>
        </w:tc>
        <w:tc>
          <w:tcPr>
            <w:tcW w:w="1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(6,830)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179.3 %</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(6,748)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2023, interest expense, net increased primarily due to a higher weighted average interest rate on borrowings under the revolving loan facility and on the term loan, partially offset by lower weighted average debt outstanding.</w:t>
      </w:r>
    </w:p>
    <w:p>
      <w:pPr>
        <w:sectPr>
          <w:pgSz w:w="11900" w:h="16838" w:orient="portrait"/>
          <w:cols w:equalWidth="0" w:num="1">
            <w:col w:w="11240"/>
          </w:cols>
          <w:pgMar w:left="320" w:top="1421"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gain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-130175</wp:posOffset>
            </wp:positionV>
            <wp:extent cx="71151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 in fair value of interest rate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Foreign exchange </w:t>
      </w:r>
      <w:r>
        <w:rPr>
          <w:rFonts w:ascii="Arial" w:cs="Arial" w:eastAsia="Arial" w:hAnsi="Arial"/>
          <w:sz w:val="23"/>
          <w:szCs w:val="23"/>
          <w:color w:val="auto"/>
          <w:vertAlign w:val="superscript"/>
        </w:rPr>
        <w:t>(1)</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Sale of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1517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in fair value of acquisition contingent consideration (See Note 17)</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Receipts (payments) related to interest rate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net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9030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Three Months Ended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2022</w:t>
            </w:r>
          </w:p>
        </w:tc>
      </w:tr>
      <w:tr>
        <w:trPr>
          <w:trHeight w:val="482"/>
        </w:trPr>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(4,489)</w:t>
            </w:r>
          </w:p>
        </w:tc>
        <w:tc>
          <w:tcPr>
            <w:tcW w:w="26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12,084</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1,454</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(3,071)</w:t>
            </w:r>
          </w:p>
        </w:tc>
      </w:tr>
      <w:tr>
        <w:trPr>
          <w:trHeight w:val="270"/>
        </w:trPr>
        <w:tc>
          <w:tcPr>
            <w:tcW w:w="360" w:type="dxa"/>
            <w:vAlign w:val="bottom"/>
          </w:tcPr>
          <w:p>
            <w:pPr>
              <w:spacing w:after="0"/>
              <w:rPr>
                <w:sz w:val="23"/>
                <w:szCs w:val="23"/>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2,029</w:t>
            </w:r>
          </w:p>
        </w:tc>
      </w:tr>
      <w:tr>
        <w:trPr>
          <w:trHeight w:val="269"/>
        </w:trPr>
        <w:tc>
          <w:tcPr>
            <w:tcW w:w="360" w:type="dxa"/>
            <w:vAlign w:val="bottom"/>
          </w:tcPr>
          <w:p>
            <w:pPr>
              <w:spacing w:after="0"/>
              <w:rPr>
                <w:sz w:val="23"/>
                <w:szCs w:val="23"/>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400"/>
          </w:cols>
          <w:pgMar w:left="320" w:top="1421" w:right="339" w:bottom="1440" w:gutter="0" w:footer="0" w:header="0"/>
          <w:type w:val="continuous"/>
        </w:sectPr>
      </w:pPr>
    </w:p>
    <w:p>
      <w:pPr>
        <w:spacing w:after="0" w:line="155" w:lineRule="exact"/>
        <w:rPr>
          <w:sz w:val="20"/>
          <w:szCs w:val="20"/>
          <w:color w:val="auto"/>
        </w:rPr>
      </w:pPr>
    </w:p>
    <w:p>
      <w:pPr>
        <w:jc w:val="both"/>
        <w:ind w:left="340" w:hanging="332"/>
        <w:spacing w:after="0" w:line="295" w:lineRule="auto"/>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Foreign exchange gain (loss) is primarily attributable to foreign currency translation derived mainly from U.S. dollar denominated cash and cash equivalents, account receivables, customer deposits, and intercompany balances held by foreign subsidiaries. Intercompany finance transactions primarily denominated in U.S. dollars resulted in unrealized foreign exchange gains (losses) of $861 and $(764) for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Provision for Income Taxes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8"/>
                <w:szCs w:val="18"/>
                <w:color w:val="auto"/>
              </w:rPr>
            </w:pPr>
          </w:p>
        </w:tc>
      </w:tr>
      <w:tr>
        <w:trPr>
          <w:trHeight w:val="219"/>
        </w:trPr>
        <w:tc>
          <w:tcPr>
            <w:tcW w:w="7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9"/>
                <w:szCs w:val="19"/>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Income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54,982</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60,191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i w:val="1"/>
                <w:iCs w:val="1"/>
                <w:color w:val="auto"/>
              </w:rPr>
              <w:t>Provision for income taxes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9,492</w:t>
            </w:r>
          </w:p>
        </w:tc>
        <w:tc>
          <w:tcPr>
            <w:tcW w:w="26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3,231</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r>
    </w:tbl>
    <w:p>
      <w:pPr>
        <w:spacing w:after="0" w:line="296"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For the three months ended March 31, 2023, the effective tax rate was higher primarily due to the decrease in discrete tax benefits recognized in the current year period. For the three months ended March 31, 2023 and 2022, we recorded discrete tax benefits of $7,073 and $12,728, respectively, primarily associated with windfall tax benefits from stock</w:t>
      </w:r>
      <w:r>
        <w:rPr>
          <w:rFonts w:ascii="MS PGothic" w:cs="MS PGothic" w:eastAsia="MS PGothic" w:hAnsi="MS PGothic"/>
          <w:sz w:val="17"/>
          <w:szCs w:val="17"/>
          <w:color w:val="auto"/>
        </w:rPr>
        <w:t>‑</w:t>
      </w:r>
      <w:r>
        <w:rPr>
          <w:rFonts w:ascii="Arial" w:cs="Arial" w:eastAsia="Arial" w:hAnsi="Arial"/>
          <w:sz w:val="17"/>
          <w:szCs w:val="17"/>
          <w:color w:val="auto"/>
        </w:rPr>
        <w:t>based compensation, net of the impact from officer compensation limitation provisions.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6"/>
                <w:szCs w:val="16"/>
                <w:b w:val="1"/>
                <w:bCs w:val="1"/>
                <w:color w:val="auto"/>
              </w:rPr>
              <w:t>March 31,</w:t>
            </w:r>
          </w:p>
        </w:tc>
        <w:tc>
          <w:tcPr>
            <w:tcW w:w="1180" w:type="dxa"/>
            <w:vAlign w:val="bottom"/>
            <w:tcBorders>
              <w:bottom w:val="single" w:sz="8" w:color="auto"/>
            </w:tcBorders>
          </w:tcPr>
          <w:p>
            <w:pPr>
              <w:spacing w:after="0"/>
              <w:rPr>
                <w:sz w:val="18"/>
                <w:szCs w:val="18"/>
                <w:color w:val="auto"/>
              </w:rPr>
            </w:pPr>
          </w:p>
        </w:tc>
      </w:tr>
      <w:tr>
        <w:trPr>
          <w:trHeight w:val="210"/>
        </w:trPr>
        <w:tc>
          <w:tcPr>
            <w:tcW w:w="77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r>
      <w:tr>
        <w:trPr>
          <w:trHeight w:val="226"/>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1,070,955</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962,550</w:t>
            </w: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Last twelve-months recurring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3"/>
              <w:spacing w:after="0"/>
              <w:rPr>
                <w:sz w:val="20"/>
                <w:szCs w:val="20"/>
                <w:color w:val="auto"/>
              </w:rPr>
            </w:pPr>
            <w:r>
              <w:rPr>
                <w:rFonts w:ascii="Arial" w:cs="Arial" w:eastAsia="Arial" w:hAnsi="Arial"/>
                <w:sz w:val="18"/>
                <w:szCs w:val="18"/>
                <w:color w:val="auto"/>
              </w:rPr>
              <w:t>1,014,113</w:t>
            </w:r>
          </w:p>
        </w:tc>
        <w:tc>
          <w:tcPr>
            <w:tcW w:w="2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885,882</w:t>
            </w:r>
          </w:p>
        </w:tc>
      </w:tr>
      <w:tr>
        <w:trPr>
          <w:trHeight w:val="230"/>
        </w:trPr>
        <w:tc>
          <w:tcPr>
            <w:tcW w:w="7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Twelve-months ended constant currency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70"/>
        </w:trPr>
        <w:tc>
          <w:tcPr>
            <w:tcW w:w="7700" w:type="dxa"/>
            <w:vAlign w:val="bottom"/>
          </w:tcPr>
          <w:p>
            <w:pPr>
              <w:ind w:left="180"/>
              <w:spacing w:after="0"/>
              <w:rPr>
                <w:sz w:val="20"/>
                <w:szCs w:val="20"/>
                <w:color w:val="auto"/>
              </w:rPr>
            </w:pPr>
            <w:r>
              <w:rPr>
                <w:rFonts w:ascii="Arial" w:cs="Arial" w:eastAsia="Arial" w:hAnsi="Arial"/>
                <w:sz w:val="18"/>
                <w:szCs w:val="18"/>
                <w:color w:val="auto"/>
              </w:rPr>
              <w:t>ARR growth rate</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13 %</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7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 retention rate</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r>
      <w:tr>
        <w:trPr>
          <w:trHeight w:val="270"/>
        </w:trPr>
        <w:tc>
          <w:tcPr>
            <w:tcW w:w="7700" w:type="dxa"/>
            <w:vAlign w:val="bottom"/>
          </w:tcPr>
          <w:p>
            <w:pPr>
              <w:ind w:left="180"/>
              <w:spacing w:after="0"/>
              <w:rPr>
                <w:sz w:val="20"/>
                <w:szCs w:val="20"/>
                <w:color w:val="auto"/>
              </w:rPr>
            </w:pPr>
            <w:r>
              <w:rPr>
                <w:rFonts w:ascii="Arial" w:cs="Arial" w:eastAsia="Arial" w:hAnsi="Arial"/>
                <w:sz w:val="18"/>
                <w:szCs w:val="18"/>
                <w:color w:val="auto"/>
              </w:rPr>
              <w:t>Recurring revenues dollar-based net retention rate</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110 %</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9030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5" w:lineRule="exact"/>
        <w:rPr>
          <w:sz w:val="20"/>
          <w:szCs w:val="20"/>
          <w:color w:val="auto"/>
        </w:rPr>
      </w:pPr>
    </w:p>
    <w:p>
      <w:pPr>
        <w:ind w:left="340" w:hanging="332"/>
        <w:spacing w:after="0" w:line="27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Constant currency is a non-GAAP financial measure. Refer to the “Non-GAAP Financial Measures” section for additional information, including our definition and our use of constant currency.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Recurring revenues are the basis for our other revenue-related key business metrics. We believe this measure is useful in evaluating our ability to consistently retain and grow our revenues within our existing accounts.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ARR is a key business metric that we believe is useful in evaluating the scale and growth of our business as well as to assist in the evaluation of underlying trends in our business. Furthermore, we believe ARR, considered in connection with our last twelve</w:t>
      </w:r>
      <w:r>
        <w:rPr>
          <w:rFonts w:ascii="MS PGothic" w:cs="MS PGothic" w:eastAsia="MS PGothic" w:hAnsi="MS PGothic"/>
          <w:sz w:val="18"/>
          <w:szCs w:val="18"/>
          <w:color w:val="auto"/>
        </w:rPr>
        <w:t>‑</w:t>
      </w:r>
      <w:r>
        <w:rPr>
          <w:rFonts w:ascii="Arial" w:cs="Arial" w:eastAsia="Arial" w:hAnsi="Arial"/>
          <w:sz w:val="18"/>
          <w:szCs w:val="18"/>
          <w:color w:val="auto"/>
        </w:rPr>
        <w:t>month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is a leading indicator of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6" w:name="page37"/>
    <w:bookmarkEnd w:id="36"/>
    <w:p>
      <w:pPr>
        <w:jc w:val="both"/>
        <w:spacing w:after="0" w:line="219" w:lineRule="exact"/>
        <w:rPr>
          <w:sz w:val="20"/>
          <w:szCs w:val="20"/>
          <w:color w:val="auto"/>
        </w:rPr>
      </w:pPr>
      <w:r>
        <w:rPr>
          <w:rFonts w:ascii="Arial" w:cs="Arial" w:eastAsia="Arial" w:hAnsi="Arial"/>
          <w:sz w:val="16"/>
          <w:szCs w:val="16"/>
          <w:color w:val="auto"/>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r>
      <w:r>
        <w:rPr>
          <w:rFonts w:ascii="MS PGothic" w:cs="MS PGothic" w:eastAsia="MS PGothic" w:hAnsi="MS PGothic"/>
          <w:sz w:val="16"/>
          <w:szCs w:val="16"/>
          <w:color w:val="auto"/>
        </w:rPr>
        <w:t>‑</w:t>
      </w:r>
      <w:r>
        <w:rPr>
          <w:rFonts w:ascii="Arial" w:cs="Arial" w:eastAsia="Arial" w:hAnsi="Arial"/>
          <w:sz w:val="16"/>
          <w:szCs w:val="16"/>
          <w:color w:val="auto"/>
        </w:rPr>
        <w:t>based software subscriptions with consumption measurement durations of less than one year, calculated using the spot foreign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spacing w:after="0" w:line="204"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ARR resulting from the annualization of recurring contracts with consumption measurement durations of less than one year, as a percentage of total ARR, was 44% and 39% as of March 31, 2023 and 2022, respectively. Within our consumption</w:t>
      </w:r>
      <w:r>
        <w:rPr>
          <w:rFonts w:ascii="MS PGothic" w:cs="MS PGothic" w:eastAsia="MS PGothic" w:hAnsi="MS PGothic"/>
          <w:sz w:val="16"/>
          <w:szCs w:val="16"/>
          <w:color w:val="auto"/>
        </w:rPr>
        <w:t>‑</w:t>
      </w:r>
      <w:r>
        <w:rPr>
          <w:rFonts w:ascii="Arial" w:cs="Arial" w:eastAsia="Arial" w:hAnsi="Arial"/>
          <w:sz w:val="16"/>
          <w:szCs w:val="16"/>
          <w:color w:val="auto"/>
        </w:rPr>
        <w:t>measured ARR, the continued transition to our E365 subscription offering has increased daily consumption</w:t>
      </w:r>
      <w:r>
        <w:rPr>
          <w:rFonts w:ascii="MS PGothic" w:cs="MS PGothic" w:eastAsia="MS PGothic" w:hAnsi="MS PGothic"/>
          <w:sz w:val="16"/>
          <w:szCs w:val="16"/>
          <w:color w:val="auto"/>
        </w:rPr>
        <w:t>‑</w:t>
      </w:r>
      <w:r>
        <w:rPr>
          <w:rFonts w:ascii="Arial" w:cs="Arial" w:eastAsia="Arial" w:hAnsi="Arial"/>
          <w:sz w:val="16"/>
          <w:szCs w:val="16"/>
          <w:color w:val="auto"/>
        </w:rPr>
        <w:t>measured ARR, representing 36% and 30% of total ARR as of March 31, 2023 and 2022, respectively.</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ARR growth rate is the growth rate of ARR measured on a constant currency basis. We believe that ARR growth is an important metric indicating the scale and growth of our business.</w:t>
      </w:r>
    </w:p>
    <w:p>
      <w:pPr>
        <w:spacing w:after="0" w:line="17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Last twelve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months recurring revenues</w:t>
      </w:r>
    </w:p>
    <w:p>
      <w:pPr>
        <w:spacing w:after="0" w:line="225"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Last twelve</w:t>
      </w:r>
      <w:r>
        <w:rPr>
          <w:rFonts w:ascii="MS PGothic" w:cs="MS PGothic" w:eastAsia="MS PGothic" w:hAnsi="MS PGothic"/>
          <w:sz w:val="17"/>
          <w:szCs w:val="17"/>
          <w:color w:val="auto"/>
        </w:rPr>
        <w:t>‑</w:t>
      </w:r>
      <w:r>
        <w:rPr>
          <w:rFonts w:ascii="Arial" w:cs="Arial" w:eastAsia="Arial" w:hAnsi="Arial"/>
          <w:sz w:val="17"/>
          <w:szCs w:val="17"/>
          <w:color w:val="auto"/>
        </w:rPr>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rates, as well as the addition of new accounts with recurring revenues.</w:t>
      </w:r>
    </w:p>
    <w:p>
      <w:pPr>
        <w:spacing w:after="0" w:line="20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is calculated as recurring revenues recognized over the preceding twelve</w:t>
      </w:r>
      <w:r>
        <w:rPr>
          <w:rFonts w:ascii="MS PGothic" w:cs="MS PGothic" w:eastAsia="MS PGothic" w:hAnsi="MS PGothic"/>
          <w:sz w:val="18"/>
          <w:szCs w:val="18"/>
          <w:color w:val="auto"/>
        </w:rPr>
        <w:t>‑</w:t>
      </w:r>
      <w:r>
        <w:rPr>
          <w:rFonts w:ascii="Arial" w:cs="Arial" w:eastAsia="Arial" w:hAnsi="Arial"/>
          <w:sz w:val="18"/>
          <w:szCs w:val="18"/>
          <w:color w:val="auto"/>
        </w:rPr>
        <w:t>month period.</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The last twelve</w:t>
      </w:r>
      <w:r>
        <w:rPr>
          <w:rFonts w:ascii="MS PGothic" w:cs="MS PGothic" w:eastAsia="MS PGothic" w:hAnsi="MS PGothic"/>
          <w:sz w:val="17"/>
          <w:szCs w:val="17"/>
          <w:color w:val="auto"/>
        </w:rPr>
        <w:t>‑</w:t>
      </w:r>
      <w:r>
        <w:rPr>
          <w:rFonts w:ascii="Arial" w:cs="Arial" w:eastAsia="Arial" w:hAnsi="Arial"/>
          <w:sz w:val="17"/>
          <w:szCs w:val="17"/>
          <w:color w:val="auto"/>
        </w:rPr>
        <w:t>months recurring revenues for the periods ended March 31, 2023 compared to the last twelve</w:t>
      </w:r>
      <w:r>
        <w:rPr>
          <w:rFonts w:ascii="MS PGothic" w:cs="MS PGothic" w:eastAsia="MS PGothic" w:hAnsi="MS PGothic"/>
          <w:sz w:val="17"/>
          <w:szCs w:val="17"/>
          <w:color w:val="auto"/>
        </w:rPr>
        <w:t>‑</w:t>
      </w:r>
      <w:r>
        <w:rPr>
          <w:rFonts w:ascii="Arial" w:cs="Arial" w:eastAsia="Arial" w:hAnsi="Arial"/>
          <w:sz w:val="17"/>
          <w:szCs w:val="17"/>
          <w:color w:val="auto"/>
        </w:rPr>
        <w:t>months of the comparative twelve</w:t>
      </w:r>
      <w:r>
        <w:rPr>
          <w:rFonts w:ascii="MS PGothic" w:cs="MS PGothic" w:eastAsia="MS PGothic" w:hAnsi="MS PGothic"/>
          <w:sz w:val="17"/>
          <w:szCs w:val="17"/>
          <w:color w:val="auto"/>
        </w:rPr>
        <w:t>‑</w:t>
      </w:r>
      <w:r>
        <w:rPr>
          <w:rFonts w:ascii="Arial" w:cs="Arial" w:eastAsia="Arial" w:hAnsi="Arial"/>
          <w:sz w:val="17"/>
          <w:szCs w:val="17"/>
          <w:color w:val="auto"/>
        </w:rPr>
        <w:t>month period increased by $128,231. This increase was primarily due to growth in ARR, which is primarily the result of growing our recurring revenues within our existing accounts as expressed in 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as well as additional recurring revenues resulting from new accounts and acquisitions, including the favorable impact from our platform acquisition of PLS and Seequent Holdings Limited. For the twelve months ended March 31, 2023 and 2022, 89% and 87%, respectively, of our revenues were recurring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 retention rate</w:t>
      </w:r>
    </w:p>
    <w:p>
      <w:pPr>
        <w:spacing w:after="0" w:line="225"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Account retention rate is a key business metric that we believe is useful in evaluating the long</w:t>
      </w:r>
      <w:r>
        <w:rPr>
          <w:rFonts w:ascii="MS PGothic" w:cs="MS PGothic" w:eastAsia="MS PGothic" w:hAnsi="MS PGothic"/>
          <w:sz w:val="18"/>
          <w:szCs w:val="18"/>
          <w:color w:val="auto"/>
        </w:rPr>
        <w:t>‑</w:t>
      </w:r>
      <w:r>
        <w:rPr>
          <w:rFonts w:ascii="Arial" w:cs="Arial" w:eastAsia="Arial" w:hAnsi="Arial"/>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Arial" w:cs="Arial" w:eastAsia="Arial" w:hAnsi="Arial"/>
          <w:sz w:val="18"/>
          <w:szCs w:val="18"/>
          <w:color w:val="auto"/>
        </w:rPr>
        <w:t>term relationships with our accounts.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 retention rate for any given twelve-month period is calculated using the average currency exchange rates for the prior period, as follows: the prior period recurring revenues from all accounts with recurring revenues in the current and prior period, divided by total recurring revenues from all accounts during the prior period.</w:t>
      </w:r>
    </w:p>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Recurring revenues dollar</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net retention rate</w:t>
      </w:r>
    </w:p>
    <w:p>
      <w:pPr>
        <w:spacing w:after="0" w:line="22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is a key business metric that we believe is useful in evaluating our ability to consistently retain and grow our recurring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jc w:val="both"/>
        <w:spacing w:after="0" w:line="219" w:lineRule="exact"/>
        <w:rPr>
          <w:sz w:val="20"/>
          <w:szCs w:val="20"/>
          <w:color w:val="auto"/>
        </w:rPr>
      </w:pPr>
      <w:r>
        <w:rPr>
          <w:rFonts w:ascii="Arial" w:cs="Arial" w:eastAsia="Arial" w:hAnsi="Arial"/>
          <w:sz w:val="17"/>
          <w:szCs w:val="17"/>
          <w:color w:val="auto"/>
        </w:rPr>
        <w:t>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that recurring revenues represented 89% of our total revenues for the twelve months ended March 31, 2023, this metric helps explain our revenue performance, excluding the impact from acquisitions, as primarily growth into existing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and provide reconciliations between these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and their most directly comparable GAAP financial measures.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should be considered in addition to, not as a substitute for, or in isolation from, the financial information prepared in accordance with GAAP, including operating income, or other measures of performance. Our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may vary significantly from period to period for reasons unrelated to our operating performance and may differ from similarly titled measures presented by other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OI w/SBC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OI w/SBC is a non-GAAP financial measure and is used to measure the operational strength and performance of our business, as well as to assist in the evaluation of underlying trends in our business.</w:t>
      </w:r>
    </w:p>
    <w:p>
      <w:pPr>
        <w:spacing w:after="0" w:line="17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Adjusted OI w/SBC is our primary performance measure, which excludes certain expenses and charges, including the non-cash amortization expense resulting from the acquisition of intangible assets, as we believe these may not be indicative of the Company’s core business operating results. We intentionally include stock-based compensation expense in this measure as we believe it better captures the economic costs of our business.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OI w/SBC is defined as operating income adjusted for the following: amortization of purchased intangibles, expense (income) relating to deferred compensation plan liabilities, acquisition expenses, and realignment expenses (income), for the respective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operating income is a non-GAAP financial measure that we believe is useful to investors in making comparisons to other companies, although this measure may not be directly comparable to similar measures used by other companies.</w:t>
      </w:r>
    </w:p>
    <w:p>
      <w:pPr>
        <w:spacing w:after="0" w:line="170"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Adjusted operating income is defined as operating income adjusted for the following: amortization of purchased intangibles, expense (income) relating to deferred compensation plan liabilities, acquisition expenses, realignment expenses (income),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Reconciliation of operating income to Adjusted OI w/SBC and to Adjusted operating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98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4"/>
              </w:rPr>
              <w:t>2022</w:t>
            </w:r>
          </w:p>
        </w:tc>
      </w:tr>
      <w:tr>
        <w:trPr>
          <w:trHeight w:val="226"/>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65,785</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r>
      <w:tr>
        <w:trPr>
          <w:trHeight w:val="230"/>
        </w:trPr>
        <w:tc>
          <w:tcPr>
            <w:tcW w:w="20" w:type="dxa"/>
            <w:vAlign w:val="bottom"/>
          </w:tcPr>
          <w:p>
            <w:pPr>
              <w:spacing w:after="0"/>
              <w:rPr>
                <w:sz w:val="19"/>
                <w:szCs w:val="19"/>
                <w:color w:val="auto"/>
              </w:rPr>
            </w:pPr>
          </w:p>
        </w:tc>
        <w:tc>
          <w:tcPr>
            <w:tcW w:w="7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Amortization of purchased intangibles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13,735</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12,928</w:t>
            </w:r>
          </w:p>
        </w:tc>
      </w:tr>
      <w:tr>
        <w:trPr>
          <w:trHeight w:val="229"/>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r>
      <w:tr>
        <w:trPr>
          <w:trHeight w:val="230"/>
        </w:trPr>
        <w:tc>
          <w:tcPr>
            <w:tcW w:w="20" w:type="dxa"/>
            <w:vAlign w:val="bottom"/>
          </w:tcPr>
          <w:p>
            <w:pPr>
              <w:spacing w:after="0"/>
              <w:rPr>
                <w:sz w:val="19"/>
                <w:szCs w:val="19"/>
                <w:color w:val="auto"/>
              </w:rPr>
            </w:pPr>
          </w:p>
        </w:tc>
        <w:tc>
          <w:tcPr>
            <w:tcW w:w="78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8,777</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13,997</w:t>
            </w:r>
          </w:p>
        </w:tc>
      </w:tr>
      <w:tr>
        <w:trPr>
          <w:trHeight w:val="229"/>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Realignment expenses (income) </w:t>
            </w:r>
            <w:r>
              <w:rPr>
                <w:rFonts w:ascii="Arial" w:cs="Arial" w:eastAsia="Arial" w:hAnsi="Arial"/>
                <w:sz w:val="23"/>
                <w:szCs w:val="23"/>
                <w:color w:val="auto"/>
                <w:vertAlign w:val="superscript"/>
              </w:rPr>
              <w:t>(4)</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color w:val="auto"/>
              </w:rPr>
              <w:t>Adjusted OI w/SBC</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90,464</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78,379</w:t>
            </w:r>
          </w:p>
        </w:tc>
      </w:tr>
      <w:tr>
        <w:trPr>
          <w:trHeight w:val="229"/>
        </w:trPr>
        <w:tc>
          <w:tcPr>
            <w:tcW w:w="20" w:type="dxa"/>
            <w:vAlign w:val="bottom"/>
          </w:tcPr>
          <w:p>
            <w:pPr>
              <w:spacing w:after="0"/>
              <w:rPr>
                <w:sz w:val="19"/>
                <w:szCs w:val="19"/>
                <w:color w:val="auto"/>
              </w:rPr>
            </w:pPr>
          </w:p>
        </w:tc>
        <w:tc>
          <w:tcPr>
            <w:tcW w:w="78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(5)</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19,198</w:t>
            </w:r>
          </w:p>
        </w:tc>
        <w:tc>
          <w:tcPr>
            <w:tcW w:w="2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14,953</w:t>
            </w:r>
          </w:p>
        </w:tc>
      </w:tr>
      <w:tr>
        <w:trPr>
          <w:trHeight w:val="223"/>
        </w:trPr>
        <w:tc>
          <w:tcPr>
            <w:tcW w:w="20" w:type="dxa"/>
            <w:vAlign w:val="bottom"/>
          </w:tcPr>
          <w:p>
            <w:pPr>
              <w:spacing w:after="0"/>
              <w:rPr>
                <w:sz w:val="19"/>
                <w:szCs w:val="19"/>
                <w:color w:val="auto"/>
              </w:rPr>
            </w:pPr>
          </w:p>
        </w:tc>
        <w:tc>
          <w:tcPr>
            <w:tcW w:w="7820" w:type="dxa"/>
            <w:vAlign w:val="bottom"/>
            <w:gridSpan w:val="2"/>
          </w:tcPr>
          <w:p>
            <w:pPr>
              <w:ind w:left="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109,662</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93,332</w:t>
            </w: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Further explanation of certain of our adjustments in arriving at Adjusted OI w/SBC and Adjusted operating income are as follows:</w:t>
      </w:r>
    </w:p>
    <w:p>
      <w:pPr>
        <w:spacing w:after="0" w:line="127" w:lineRule="exact"/>
        <w:rPr>
          <w:sz w:val="20"/>
          <w:szCs w:val="20"/>
          <w:color w:val="auto"/>
        </w:rPr>
      </w:pPr>
    </w:p>
    <w:p>
      <w:pPr>
        <w:jc w:val="both"/>
        <w:ind w:left="340" w:hanging="332"/>
        <w:spacing w:after="0" w:line="197" w:lineRule="exact"/>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Amortization of purchased intangibles</w:t>
      </w:r>
      <w:r>
        <w:rPr>
          <w:rFonts w:ascii="Arial" w:cs="Arial" w:eastAsia="Arial" w:hAnsi="Arial"/>
          <w:sz w:val="16"/>
          <w:szCs w:val="16"/>
          <w:color w:val="auto"/>
        </w:rPr>
        <w:t>. Amortization of purchased intangibles varies in amount and frequency and is significantly impacted by the timing and size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acquisitions. Management finds it useful to exclude these non</w:t>
      </w:r>
      <w:r>
        <w:rPr>
          <w:rFonts w:ascii="MS PGothic" w:cs="MS PGothic" w:eastAsia="MS PGothic" w:hAnsi="MS PGothic"/>
          <w:sz w:val="16"/>
          <w:szCs w:val="16"/>
          <w:color w:val="auto"/>
        </w:rPr>
        <w:t>‑</w:t>
      </w:r>
      <w:r>
        <w:rPr>
          <w:rFonts w:ascii="Arial" w:cs="Arial" w:eastAsia="Arial" w:hAnsi="Arial"/>
          <w:sz w:val="16"/>
          <w:szCs w:val="16"/>
          <w:color w:val="auto"/>
        </w:rPr>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spacing w:after="0" w:line="92" w:lineRule="exact"/>
        <w:rPr>
          <w:rFonts w:ascii="Arial" w:cs="Arial" w:eastAsia="Arial" w:hAnsi="Arial"/>
          <w:sz w:val="16"/>
          <w:szCs w:val="16"/>
          <w:color w:val="auto"/>
        </w:rPr>
      </w:pPr>
    </w:p>
    <w:p>
      <w:pPr>
        <w:jc w:val="both"/>
        <w:ind w:left="340" w:hanging="332"/>
        <w:spacing w:after="0" w:line="26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Deferred compensation plan</w:t>
      </w:r>
      <w:r>
        <w:rPr>
          <w:rFonts w:ascii="Arial" w:cs="Arial" w:eastAsia="Arial" w:hAnsi="Arial"/>
          <w:sz w:val="16"/>
          <w:szCs w:val="16"/>
          <w:color w:val="auto"/>
        </w:rPr>
        <w:t>. We exclude</w:t>
      </w:r>
      <w:r>
        <w:rPr>
          <w:rFonts w:ascii="Arial" w:cs="Arial" w:eastAsia="Arial" w:hAnsi="Arial"/>
          <w:sz w:val="16"/>
          <w:szCs w:val="16"/>
          <w:i w:val="1"/>
          <w:iCs w:val="1"/>
          <w:color w:val="auto"/>
        </w:rPr>
        <w:t xml:space="preserve"> Deferred compensation plan </w:t>
      </w:r>
      <w:r>
        <w:rPr>
          <w:rFonts w:ascii="Arial" w:cs="Arial" w:eastAsia="Arial" w:hAnsi="Arial"/>
          <w:sz w:val="16"/>
          <w:szCs w:val="16"/>
          <w:color w:val="auto"/>
        </w:rPr>
        <w:t>expense (income) when we evaluate our continuing operational performance because it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reflective of our ongoing business and results of operation.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Arial" w:cs="Arial" w:eastAsia="Arial" w:hAnsi="Arial"/>
          <w:sz w:val="16"/>
          <w:szCs w:val="16"/>
          <w:i w:val="1"/>
          <w:iCs w:val="1"/>
          <w:color w:val="auto"/>
        </w:rPr>
        <w:t xml:space="preserve">Deferred compensation plan </w:t>
      </w:r>
      <w:r>
        <w:rPr>
          <w:rFonts w:ascii="Arial" w:cs="Arial" w:eastAsia="Arial" w:hAnsi="Arial"/>
          <w:sz w:val="16"/>
          <w:szCs w:val="16"/>
          <w:color w:val="auto"/>
        </w:rPr>
        <w:t>in the consolidated statements of operations.</w:t>
      </w:r>
    </w:p>
    <w:p>
      <w:pPr>
        <w:spacing w:after="0" w:line="87" w:lineRule="exact"/>
        <w:rPr>
          <w:rFonts w:ascii="Arial" w:cs="Arial" w:eastAsia="Arial" w:hAnsi="Arial"/>
          <w:sz w:val="16"/>
          <w:szCs w:val="16"/>
          <w:color w:val="auto"/>
        </w:rPr>
      </w:pPr>
    </w:p>
    <w:p>
      <w:pPr>
        <w:jc w:val="both"/>
        <w:ind w:left="340" w:hanging="332"/>
        <w:spacing w:after="0" w:line="195" w:lineRule="exact"/>
        <w:tabs>
          <w:tab w:leader="none" w:pos="34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Acquisition expenses</w:t>
      </w:r>
      <w:r>
        <w:rPr>
          <w:rFonts w:ascii="Arial" w:cs="Arial" w:eastAsia="Arial" w:hAnsi="Arial"/>
          <w:sz w:val="15"/>
          <w:szCs w:val="15"/>
          <w:color w:val="auto"/>
        </w:rPr>
        <w:t>. We incur expenses for professional services rendered in connection with business combinations, which are included in our U.S. GAAP</w:t>
      </w:r>
      <w:r>
        <w:rPr>
          <w:rFonts w:ascii="Arial" w:cs="Arial" w:eastAsia="Arial" w:hAnsi="Arial"/>
          <w:sz w:val="15"/>
          <w:szCs w:val="15"/>
          <w:i w:val="1"/>
          <w:iCs w:val="1"/>
          <w:color w:val="auto"/>
        </w:rPr>
        <w:t xml:space="preserve"> </w:t>
      </w:r>
      <w:r>
        <w:rPr>
          <w:rFonts w:ascii="Arial" w:cs="Arial" w:eastAsia="Arial" w:hAnsi="Arial"/>
          <w:sz w:val="15"/>
          <w:szCs w:val="15"/>
          <w:color w:val="auto"/>
        </w:rPr>
        <w:t>presentation of general and administrative expense (See Note 4 to our consolidated financial statements included in Part I, Item 1 of this Quarterly Report on Form 10</w:t>
      </w:r>
      <w:r>
        <w:rPr>
          <w:rFonts w:ascii="MS PGothic" w:cs="MS PGothic" w:eastAsia="MS PGothic" w:hAnsi="MS PGothic"/>
          <w:sz w:val="15"/>
          <w:szCs w:val="15"/>
          <w:color w:val="auto"/>
        </w:rPr>
        <w:t>‑</w:t>
      </w:r>
      <w:r>
        <w:rPr>
          <w:rFonts w:ascii="Arial" w:cs="Arial" w:eastAsia="Arial" w:hAnsi="Arial"/>
          <w:sz w:val="15"/>
          <w:szCs w:val="15"/>
          <w:color w:val="auto"/>
        </w:rPr>
        <w:t>Q).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 For the three months ended March 31, 2022, $9,773 of our acquisition expenses related to our platform acquisition of PLS.</w:t>
      </w:r>
    </w:p>
    <w:p>
      <w:pPr>
        <w:spacing w:after="0" w:line="106" w:lineRule="exact"/>
        <w:rPr>
          <w:rFonts w:ascii="Arial" w:cs="Arial" w:eastAsia="Arial" w:hAnsi="Arial"/>
          <w:sz w:val="15"/>
          <w:szCs w:val="15"/>
          <w:color w:val="auto"/>
        </w:rPr>
      </w:pPr>
    </w:p>
    <w:p>
      <w:pPr>
        <w:jc w:val="both"/>
        <w:ind w:left="340" w:hanging="332"/>
        <w:spacing w:after="0" w:line="258"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Realignment expenses (income)</w:t>
      </w:r>
      <w:r>
        <w:rPr>
          <w:rFonts w:ascii="Arial" w:cs="Arial" w:eastAsia="Arial" w:hAnsi="Arial"/>
          <w:sz w:val="16"/>
          <w:szCs w:val="16"/>
          <w:color w:val="auto"/>
        </w:rPr>
        <w:t>. We exclude these charges and subsequent adjustments to our estimates when we evaluate our continuing operational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 For the three months ended March 31, 2023, </w:t>
      </w:r>
      <w:r>
        <w:rPr>
          <w:rFonts w:ascii="Arial" w:cs="Arial" w:eastAsia="Arial" w:hAnsi="Arial"/>
          <w:sz w:val="16"/>
          <w:szCs w:val="16"/>
          <w:i w:val="1"/>
          <w:iCs w:val="1"/>
          <w:color w:val="auto"/>
        </w:rPr>
        <w:t>Realignment income</w:t>
      </w:r>
      <w:r>
        <w:rPr>
          <w:rFonts w:ascii="Arial" w:cs="Arial" w:eastAsia="Arial" w:hAnsi="Arial"/>
          <w:sz w:val="16"/>
          <w:szCs w:val="16"/>
          <w:color w:val="auto"/>
        </w:rPr>
        <w:t xml:space="preserve"> primarily relates to the continued wind down of our Russian entities since we exited operations beginning in the second quarter of 2022.</w:t>
      </w:r>
    </w:p>
    <w:p>
      <w:pPr>
        <w:spacing w:after="0" w:line="91" w:lineRule="exact"/>
        <w:rPr>
          <w:rFonts w:ascii="Arial" w:cs="Arial" w:eastAsia="Arial" w:hAnsi="Arial"/>
          <w:sz w:val="16"/>
          <w:szCs w:val="16"/>
          <w:color w:val="auto"/>
        </w:rPr>
      </w:pPr>
    </w:p>
    <w:p>
      <w:pPr>
        <w:ind w:left="340" w:hanging="332"/>
        <w:spacing w:after="0" w:line="198" w:lineRule="exact"/>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Stock</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based compensation expense</w:t>
      </w:r>
      <w:r>
        <w:rPr>
          <w:rFonts w:ascii="Arial" w:cs="Arial" w:eastAsia="Arial" w:hAnsi="Arial"/>
          <w:sz w:val="16"/>
          <w:szCs w:val="16"/>
          <w:color w:val="auto"/>
        </w:rPr>
        <w:t>. We exclude non-cash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expenses from certain of our non</w:t>
      </w:r>
      <w:r>
        <w:rPr>
          <w:rFonts w:ascii="MS PGothic" w:cs="MS PGothic" w:eastAsia="MS PGothic" w:hAnsi="MS PGothic"/>
          <w:sz w:val="16"/>
          <w:szCs w:val="16"/>
          <w:color w:val="auto"/>
        </w:rPr>
        <w:t>‑</w:t>
      </w:r>
      <w:r>
        <w:rPr>
          <w:rFonts w:ascii="Arial" w:cs="Arial" w:eastAsia="Arial" w:hAnsi="Arial"/>
          <w:sz w:val="16"/>
          <w:szCs w:val="16"/>
          <w:color w:val="auto"/>
        </w:rPr>
        <w:t>GAAP measures because we believe this is</w:t>
      </w:r>
      <w:r>
        <w:rPr>
          <w:rFonts w:ascii="Arial" w:cs="Arial" w:eastAsia="Arial" w:hAnsi="Arial"/>
          <w:sz w:val="16"/>
          <w:szCs w:val="16"/>
          <w:i w:val="1"/>
          <w:iCs w:val="1"/>
          <w:color w:val="auto"/>
        </w:rPr>
        <w:t xml:space="preserve"> </w:t>
      </w:r>
      <w:r>
        <w:rPr>
          <w:rFonts w:ascii="Arial" w:cs="Arial" w:eastAsia="Arial" w:hAnsi="Arial"/>
          <w:sz w:val="16"/>
          <w:szCs w:val="16"/>
          <w:color w:val="auto"/>
        </w:rPr>
        <w:t>useful to investors in making comparisons to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Constant currency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Constant currency and constant currency growth rates are non-GAAP financial measures that present our results of operations excluding the estimated effects of foreign currency exchange rate fluctuations. We have operations outside the U.S. that are conducted in local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88"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 information by translating current period results using prior period average foreign currency exchange rates.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primary source of operating cash is from the sale of subscriptions, perpetual licenses, and services. Our primary use of cash is payment of our operating costs, which consist primarily of headcount</w:t>
      </w:r>
      <w:r>
        <w:rPr>
          <w:rFonts w:ascii="MS PGothic" w:cs="MS PGothic" w:eastAsia="MS PGothic" w:hAnsi="MS PGothic"/>
          <w:sz w:val="18"/>
          <w:szCs w:val="18"/>
          <w:color w:val="auto"/>
        </w:rPr>
        <w:t>‑</w:t>
      </w:r>
      <w:r>
        <w:rPr>
          <w:rFonts w:ascii="Arial" w:cs="Arial" w:eastAsia="Arial" w:hAnsi="Arial"/>
          <w:sz w:val="18"/>
          <w:szCs w:val="18"/>
          <w:color w:val="auto"/>
        </w:rPr>
        <w:t xml:space="preserve">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 including our </w:t>
      </w:r>
      <w:r>
        <w:rPr>
          <w:rFonts w:ascii="Arial" w:cs="Arial" w:eastAsia="Arial" w:hAnsi="Arial"/>
          <w:sz w:val="18"/>
          <w:szCs w:val="18"/>
          <w:i w:val="1"/>
          <w:iCs w:val="1"/>
          <w:color w:val="auto"/>
        </w:rPr>
        <w:t>iTwin Ventures</w:t>
      </w:r>
      <w:r>
        <w:rPr>
          <w:rFonts w:ascii="Arial" w:cs="Arial" w:eastAsia="Arial" w:hAnsi="Arial"/>
          <w:sz w:val="18"/>
          <w:szCs w:val="18"/>
          <w:color w:val="auto"/>
        </w:rPr>
        <w:t xml:space="preserve"> initiative which makes seed, early, and growth stage investments in technology companies with promising and emerging opportunities for infrastructure digital twin solutions potentially relevant to our business.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existing domestic and international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provide assurance that we could obtain additional financing on favorable terms or at 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414"/>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70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b w:val="1"/>
                <w:bCs w:val="1"/>
                <w:color w:val="auto"/>
              </w:rPr>
              <w:t>2022</w:t>
            </w:r>
          </w:p>
        </w:tc>
      </w:tr>
      <w:tr>
        <w:trPr>
          <w:trHeight w:val="22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domestically</w:t>
            </w:r>
          </w:p>
        </w:tc>
        <w:tc>
          <w:tcPr>
            <w:tcW w:w="1360" w:type="dxa"/>
            <w:vAlign w:val="bottom"/>
            <w:shd w:val="clear" w:color="auto" w:fill="CCEEFF"/>
          </w:tcPr>
          <w:p>
            <w:pPr>
              <w:jc w:val="right"/>
              <w:ind w:right="115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10,810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held by foreign subsidiaries</w:t>
            </w:r>
          </w:p>
        </w:tc>
        <w:tc>
          <w:tcPr>
            <w:tcW w:w="1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82,757</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67,801</w:t>
            </w:r>
          </w:p>
        </w:tc>
      </w:tr>
      <w:tr>
        <w:trPr>
          <w:trHeight w:val="248"/>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and cash equivalents</w:t>
            </w:r>
          </w:p>
        </w:tc>
        <w:tc>
          <w:tcPr>
            <w:tcW w:w="1360" w:type="dxa"/>
            <w:vAlign w:val="bottom"/>
            <w:tcBorders>
              <w:bottom w:val="single" w:sz="8" w:color="auto"/>
            </w:tcBorders>
            <w:shd w:val="clear" w:color="auto" w:fill="CCEEFF"/>
          </w:tcPr>
          <w:p>
            <w:pPr>
              <w:jc w:val="right"/>
              <w:ind w:right="115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93,567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40" w:type="dxa"/>
            <w:vAlign w:val="bottom"/>
            <w:gridSpan w:val="4"/>
          </w:tcPr>
          <w:p>
            <w:pPr>
              <w:ind w:left="16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413"/>
              <w:spacing w:after="0"/>
              <w:rPr>
                <w:sz w:val="20"/>
                <w:szCs w:val="20"/>
                <w:color w:val="auto"/>
              </w:rPr>
            </w:pPr>
            <w:r>
              <w:rPr>
                <w:rFonts w:ascii="Arial" w:cs="Arial" w:eastAsia="Arial" w:hAnsi="Arial"/>
                <w:sz w:val="16"/>
                <w:szCs w:val="16"/>
                <w:b w:val="1"/>
                <w:bCs w:val="1"/>
                <w:color w:val="auto"/>
                <w:w w:val="88"/>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w w:val="84"/>
              </w:rPr>
              <w:t>2023</w:t>
            </w: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1,668,781</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1,675,031</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2023 and 2022</w:t>
            </w: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0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gridSpan w:val="3"/>
          </w:tcPr>
          <w:p>
            <w:pPr>
              <w:spacing w:after="0"/>
              <w:rPr>
                <w:sz w:val="20"/>
                <w:szCs w:val="20"/>
                <w:color w:val="auto"/>
              </w:rPr>
            </w:pPr>
            <w:r>
              <w:rPr>
                <w:rFonts w:ascii="Arial" w:cs="Arial" w:eastAsia="Arial" w:hAnsi="Arial"/>
                <w:sz w:val="18"/>
                <w:szCs w:val="18"/>
                <w:color w:val="auto"/>
                <w:w w:val="93"/>
              </w:rPr>
              <w:t>Our cash flow activities for the three months ended March 31, 2023 and 2022 consist of the following:</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473"/>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spacing w:after="0"/>
              <w:rPr>
                <w:sz w:val="23"/>
                <w:szCs w:val="23"/>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176,223</w:t>
            </w:r>
          </w:p>
        </w:tc>
        <w:tc>
          <w:tcPr>
            <w:tcW w:w="2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101,731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(20,761)</w:t>
            </w: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(700,575)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(134,241)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399,931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Net cash provided by operating activities was $176,223 for the three months ended March 31, 2023. Compared to the same period in the prior year, net cash provided by operating activities was higher by $74,492 due to an increase in net cash flows from the change in operating assets and liabilities of $72,434 and a net increase in non</w:t>
      </w:r>
      <w:r>
        <w:rPr>
          <w:rFonts w:ascii="MS PGothic" w:cs="MS PGothic" w:eastAsia="MS PGothic" w:hAnsi="MS PGothic"/>
          <w:sz w:val="18"/>
          <w:szCs w:val="18"/>
          <w:color w:val="auto"/>
        </w:rPr>
        <w:t>‑</w:t>
      </w:r>
      <w:r>
        <w:rPr>
          <w:rFonts w:ascii="Arial" w:cs="Arial" w:eastAsia="Arial" w:hAnsi="Arial"/>
          <w:sz w:val="18"/>
          <w:szCs w:val="18"/>
          <w:color w:val="auto"/>
        </w:rPr>
        <w:t>cash adjustments of $12,956, partially offset by a decrease in net income of $10,898. The increase in cash flows from the change in operating assets and liabilities was primarily due to higher CSS deposits, the overall timing of tax payments, and an increase in deferred revenues period over period.</w:t>
      </w:r>
    </w:p>
    <w:p>
      <w:pPr>
        <w:spacing w:after="0" w:line="205"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For the three months ended March 31, 2022, net cash provided by operating activities was $101,731 due to net income of $56,388 increased by $27,472 of non</w:t>
      </w:r>
      <w:r>
        <w:rPr>
          <w:rFonts w:ascii="MS PGothic" w:cs="MS PGothic" w:eastAsia="MS PGothic" w:hAnsi="MS PGothic"/>
          <w:sz w:val="18"/>
          <w:szCs w:val="18"/>
          <w:color w:val="auto"/>
        </w:rPr>
        <w:t>‑</w:t>
      </w:r>
      <w:r>
        <w:rPr>
          <w:rFonts w:ascii="Arial" w:cs="Arial" w:eastAsia="Arial" w:hAnsi="Arial"/>
          <w:sz w:val="18"/>
          <w:szCs w:val="18"/>
          <w:color w:val="auto"/>
        </w:rPr>
        <w:t>cash adjustments and $17,871 from changes in operating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was $20,761 for the three months ended March 31, 2023 primarily due to $10,299 in acquisition related payments, net of cash acquired, to complete one acquisition, and $6,178 for purchases of investments.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net cash used in investing activities was $700,575 primarily due to $695,968 in acquisition related payments, net of cash acquired, to complete one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$134,241 for the three months ended March 31, 2023 primarily due to the net paydown of the credit facility of $107,235, payments for shares acquired of $20,948, and payments of dividends of $14,522.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net cash provided by financing activities was $399,931 primarily due to an increase in net borrowings under the credit facility of $438,966, partially offset by net payments for shares acquired of $35,117.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There have been no material changes in our market risk exposure as described in Part II, Item 7A. Quantitative and Qualitative Disclosures About Market Risk in our 2022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Effectiveness of Disclosure Controls and Procedures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Our management maintains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March 31, 2023, our disclosure controls and procedures were effective at the reasonable assurance level.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management’s evaluation pursuant to Rules 13a or 15d of the Exchange Act that occurred during the quarter ended March 31,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spacing w:after="0" w:line="304" w:lineRule="exact"/>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2022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w:t>
      </w:r>
      <w:r>
        <w:rPr>
          <w:rFonts w:ascii="Arial" w:cs="Arial" w:eastAsia="Arial" w:hAnsi="Arial"/>
          <w:sz w:val="18"/>
          <w:szCs w:val="18"/>
          <w:b w:val="1"/>
          <w:bCs w:val="1"/>
          <w:color w:val="auto"/>
        </w:rPr>
        <w:t>Item 2. Unregistered Sales of Equity Securities and Use of Proceeds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January 1, 2023 to March 31, 2023, we issued 1,052,738 shares of our Class B Common Stock in connection with distributions from our DCP.</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540" w:type="dxa"/>
            <w:vAlign w:val="bottom"/>
            <w:gridSpan w:val="4"/>
            <w:vMerge w:val="restart"/>
          </w:tcPr>
          <w:p>
            <w:pPr>
              <w:ind w:left="41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54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1100" w:type="dxa"/>
            <w:vAlign w:val="bottom"/>
            <w:tcBorders>
              <w:top w:val="single" w:sz="8" w:color="auto"/>
            </w:tcBorders>
          </w:tcPr>
          <w:p>
            <w:pPr>
              <w:ind w:left="160"/>
              <w:spacing w:after="0" w:line="18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760" w:type="dxa"/>
            <w:vAlign w:val="bottom"/>
            <w:tcBorders>
              <w:top w:val="single" w:sz="8" w:color="auto"/>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0"/>
              </w:rPr>
              <w:t>Certification of CEO pursuant to Rule 13a-14(a) and Rule 15d-14(a) of the Securities Exchange Act of 1934, as amended</w:t>
            </w:r>
          </w:p>
        </w:tc>
        <w:tc>
          <w:tcPr>
            <w:tcW w:w="1140"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6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 of CFO pursuant to Rule 13a-14(a) and Rule 15d-14(a) of the Securities Exchange Act of 1934, as amended</w:t>
            </w:r>
          </w:p>
        </w:tc>
        <w:tc>
          <w:tcPr>
            <w:tcW w:w="1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00" w:type="dxa"/>
            <w:vAlign w:val="bottom"/>
          </w:tcPr>
          <w:p>
            <w:pPr>
              <w:ind w:lef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0000FF"/>
                <w:w w:val="93"/>
              </w:rPr>
              <w:t>Certification of CEO and CFO Pursuant to 18 U.S.C. Section 1350, as Adopted Pursuant to Section 906 of the Sarbanes-Oxley Act of</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2002</w:t>
            </w:r>
          </w:p>
        </w:tc>
        <w:tc>
          <w:tcPr>
            <w:tcW w:w="8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8"/>
                <w:szCs w:val="18"/>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w w:val="92"/>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41"/>
        </w:trPr>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0"/>
        </w:trPr>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320" w:hanging="1236"/>
        <w:spacing w:after="0"/>
        <w:tabs>
          <w:tab w:leader="none" w:pos="13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143" w:lineRule="exact"/>
        <w:rPr>
          <w:rFonts w:ascii="Arial" w:cs="Arial" w:eastAsia="Arial" w:hAnsi="Arial"/>
          <w:sz w:val="18"/>
          <w:szCs w:val="18"/>
          <w:color w:val="auto"/>
        </w:rPr>
      </w:pPr>
    </w:p>
    <w:p>
      <w:pPr>
        <w:ind w:left="480" w:right="20" w:hanging="445"/>
        <w:spacing w:after="0" w:line="220"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or furnished herewith. The certification attached as Exhibit 32.1 that accompanies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Bentley Systems, Incorporated</w:t>
      </w:r>
    </w:p>
    <w:p>
      <w:pPr>
        <w:spacing w:after="0" w:line="55" w:lineRule="exact"/>
        <w:rPr>
          <w:sz w:val="20"/>
          <w:szCs w:val="20"/>
          <w:color w:val="auto"/>
        </w:rPr>
      </w:pPr>
    </w:p>
    <w:p>
      <w:pPr>
        <w:ind w:left="20"/>
        <w:spacing w:after="0"/>
        <w:tabs>
          <w:tab w:leader="none" w:pos="4240" w:val="left"/>
          <w:tab w:leader="none" w:pos="7460" w:val="left"/>
        </w:tabs>
        <w:rPr>
          <w:sz w:val="20"/>
          <w:szCs w:val="20"/>
          <w:color w:val="auto"/>
        </w:rPr>
      </w:pPr>
      <w:r>
        <w:rPr>
          <w:rFonts w:ascii="Arial" w:cs="Arial" w:eastAsia="Arial" w:hAnsi="Arial"/>
          <w:sz w:val="35"/>
          <w:szCs w:val="35"/>
          <w:color w:val="auto"/>
          <w:vertAlign w:val="superscript"/>
        </w:rPr>
        <w:t>Date: May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w:t>
      </w:r>
      <w:r>
        <w:rPr>
          <w:rFonts w:ascii="Arial" w:cs="Arial" w:eastAsia="Arial" w:hAnsi="Arial"/>
          <w:sz w:val="13"/>
          <w:szCs w:val="13"/>
          <w:color w:val="auto"/>
        </w:rPr>
        <w:t>ERNER</w:t>
      </w:r>
      <w:r>
        <w:rPr>
          <w:rFonts w:ascii="Arial" w:cs="Arial" w:eastAsia="Arial" w:hAnsi="Arial"/>
          <w:sz w:val="17"/>
          <w:szCs w:val="17"/>
          <w:color w:val="auto"/>
        </w:rPr>
        <w:t xml:space="preserve"> A</w:t>
      </w:r>
      <w:r>
        <w:rPr>
          <w:rFonts w:ascii="Arial" w:cs="Arial" w:eastAsia="Arial" w:hAnsi="Arial"/>
          <w:sz w:val="13"/>
          <w:szCs w:val="13"/>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-17780</wp:posOffset>
            </wp:positionV>
            <wp:extent cx="38830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83025" cy="8890"/>
                    </a:xfrm>
                    <a:prstGeom prst="rect">
                      <a:avLst/>
                    </a:prstGeom>
                    <a:noFill/>
                  </pic:spPr>
                </pic:pic>
              </a:graphicData>
            </a:graphic>
          </wp:anchor>
        </w:drawing>
      </w:r>
    </w:p>
    <w:p>
      <w:pPr>
        <w:jc w:val="center"/>
        <w:ind w:left="5120"/>
        <w:spacing w:after="0"/>
        <w:rPr>
          <w:sz w:val="20"/>
          <w:szCs w:val="20"/>
          <w:color w:val="auto"/>
        </w:rPr>
      </w:pPr>
      <w:r>
        <w:rPr>
          <w:rFonts w:ascii="Arial" w:cs="Arial" w:eastAsia="Arial" w:hAnsi="Arial"/>
          <w:sz w:val="18"/>
          <w:szCs w:val="18"/>
          <w:color w:val="auto"/>
        </w:rPr>
        <w:t>Werner Andre</w:t>
      </w:r>
    </w:p>
    <w:p>
      <w:pPr>
        <w:spacing w:after="0" w:line="7"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Chief Financial Officer and Chief Accounting Officer</w:t>
      </w:r>
    </w:p>
    <w:p>
      <w:pPr>
        <w:spacing w:after="0" w:line="23"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Gregory S. Bentley, certify that:</w:t>
      </w:r>
    </w:p>
    <w:p>
      <w:pPr>
        <w:spacing w:after="0" w:line="198" w:lineRule="exact"/>
        <w:rPr>
          <w:sz w:val="20"/>
          <w:szCs w:val="20"/>
          <w:color w:val="auto"/>
        </w:rPr>
      </w:pPr>
    </w:p>
    <w:p>
      <w:pPr>
        <w:ind w:left="340" w:hanging="332"/>
        <w:spacing w:after="0" w:line="207" w:lineRule="exact"/>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Bentley Systems, Incorporated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Werner Andre, certify that:</w:t>
      </w:r>
    </w:p>
    <w:p>
      <w:pPr>
        <w:spacing w:after="0" w:line="198" w:lineRule="exact"/>
        <w:rPr>
          <w:sz w:val="20"/>
          <w:szCs w:val="20"/>
          <w:color w:val="auto"/>
        </w:rPr>
      </w:pPr>
    </w:p>
    <w:p>
      <w:pPr>
        <w:ind w:left="340" w:hanging="332"/>
        <w:spacing w:after="0" w:line="207" w:lineRule="exact"/>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Bentley Systems, Incorporated (the “registrant”);</w:t>
      </w:r>
    </w:p>
    <w:p>
      <w:pPr>
        <w:spacing w:after="0" w:line="184"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ERNER</w:t>
      </w:r>
      <w:r>
        <w:rPr>
          <w:rFonts w:ascii="Arial" w:cs="Arial" w:eastAsia="Arial" w:hAnsi="Arial"/>
          <w:sz w:val="18"/>
          <w:szCs w:val="18"/>
          <w:color w:val="auto"/>
        </w:rPr>
        <w:t xml:space="preserve"> A</w:t>
      </w:r>
      <w:r>
        <w:rPr>
          <w:rFonts w:ascii="Arial" w:cs="Arial" w:eastAsia="Arial" w:hAnsi="Arial"/>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93"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of Bentley Systems, Incorporated (the “Company”) on Form 10</w:t>
      </w:r>
      <w:r>
        <w:rPr>
          <w:rFonts w:ascii="MS PGothic" w:cs="MS PGothic" w:eastAsia="MS PGothic" w:hAnsi="MS PGothic"/>
          <w:sz w:val="17"/>
          <w:szCs w:val="17"/>
          <w:color w:val="auto"/>
        </w:rPr>
        <w:t>‑</w:t>
      </w:r>
      <w:r>
        <w:rPr>
          <w:rFonts w:ascii="Arial" w:cs="Arial" w:eastAsia="Arial" w:hAnsi="Arial"/>
          <w:sz w:val="17"/>
          <w:szCs w:val="17"/>
          <w:color w:val="auto"/>
        </w:rPr>
        <w:t>Q for the period ended March 31, 2023,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175"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right="140" w:firstLine="332"/>
        <w:spacing w:after="0" w:line="481" w:lineRule="auto"/>
        <w:tabs>
          <w:tab w:leader="none" w:pos="6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9, 2023</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ERNER</w:t>
      </w:r>
      <w:r>
        <w:rPr>
          <w:rFonts w:ascii="Arial" w:cs="Arial" w:eastAsia="Arial" w:hAnsi="Arial"/>
          <w:sz w:val="18"/>
          <w:szCs w:val="18"/>
          <w:color w:val="auto"/>
        </w:rPr>
        <w:t xml:space="preserve"> A</w:t>
      </w:r>
      <w:r>
        <w:rPr>
          <w:rFonts w:ascii="Arial" w:cs="Arial" w:eastAsia="Arial" w:hAnsi="Arial"/>
          <w:sz w:val="14"/>
          <w:szCs w:val="14"/>
          <w:color w:val="auto"/>
        </w:rPr>
        <w:t>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686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Werner Andre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Chief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emdash "/>
      <w:numFmt w:val="bullet"/>
      <w:start w:val="1"/>
    </w:lvl>
  </w:abstractNum>
  <w:abstractNum w:abstractNumId="3">
    <w:nsid w:val="7FDCC233"/>
    <w:multiLevelType w:val="hybridMultilevel"/>
    <w:lvl w:ilvl="0">
      <w:lvlJc w:val="left"/>
      <w:lvlText w:val="(%1)"/>
      <w:numFmt w:val="decimal"/>
      <w:start w:val="249"/>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lvl w:ilvl="1">
      <w:lvlJc w:val="left"/>
      <w:lvlText w:val="%2"/>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2023-05-09T15:54:31Z</dcterms:created>
  <dcterms:modified xsi:type="dcterms:W3CDTF">2023-05-09T15:54:31Z</dcterms:modified>
</cp:coreProperties>
</file>