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 w:lineRule="exact"/>
        <w:rPr>
          <w:sz w:val="24"/>
          <w:szCs w:val="24"/>
          <w:color w:val="auto"/>
        </w:rPr>
      </w:pPr>
    </w:p>
    <w:p>
      <w:pPr>
        <w:ind w:left="4040"/>
        <w:spacing w:after="0"/>
        <w:rPr>
          <w:sz w:val="20"/>
          <w:szCs w:val="20"/>
          <w:color w:val="auto"/>
        </w:rPr>
      </w:pPr>
      <w:r>
        <w:rPr>
          <w:rFonts w:ascii="Arial" w:cs="Arial" w:eastAsia="Arial" w:hAnsi="Arial"/>
          <w:sz w:val="18"/>
          <w:szCs w:val="18"/>
          <w:color w:val="auto"/>
        </w:rPr>
        <w:t>___________________________________</w:t>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34" w:lineRule="exact"/>
        <w:rPr>
          <w:sz w:val="24"/>
          <w:szCs w:val="24"/>
          <w:color w:val="auto"/>
        </w:rPr>
      </w:pPr>
    </w:p>
    <w:p>
      <w:pPr>
        <w:ind w:left="4040"/>
        <w:spacing w:after="0"/>
        <w:rPr>
          <w:sz w:val="20"/>
          <w:szCs w:val="20"/>
          <w:color w:val="auto"/>
        </w:rPr>
      </w:pPr>
      <w:r>
        <w:rPr>
          <w:rFonts w:ascii="Arial" w:cs="Arial" w:eastAsia="Arial" w:hAnsi="Arial"/>
          <w:sz w:val="18"/>
          <w:szCs w:val="18"/>
          <w:color w:val="auto"/>
        </w:rPr>
        <w:t>___________________________________</w:t>
      </w:r>
    </w:p>
    <w:p>
      <w:pPr>
        <w:spacing w:after="0" w:line="282" w:lineRule="exact"/>
        <w:rPr>
          <w:sz w:val="24"/>
          <w:szCs w:val="24"/>
          <w:color w:val="auto"/>
        </w:rPr>
      </w:pPr>
    </w:p>
    <w:p>
      <w:pPr>
        <w:ind w:left="140"/>
        <w:spacing w:after="0"/>
        <w:rPr>
          <w:sz w:val="20"/>
          <w:szCs w:val="20"/>
          <w:color w:val="auto"/>
        </w:rPr>
      </w:pPr>
      <w:r>
        <w:rPr>
          <w:rFonts w:ascii="Arial" w:cs="Arial" w:eastAsia="Arial" w:hAnsi="Arial"/>
          <w:sz w:val="14"/>
          <w:szCs w:val="14"/>
          <w:b w:val="1"/>
          <w:bCs w:val="1"/>
          <w:color w:val="auto"/>
        </w:rPr>
        <w:t>(Mark One)</w:t>
      </w:r>
    </w:p>
    <w:p>
      <w:pPr>
        <w:spacing w:after="0" w:line="59" w:lineRule="exact"/>
        <w:rPr>
          <w:sz w:val="24"/>
          <w:szCs w:val="24"/>
          <w:color w:val="auto"/>
        </w:rPr>
      </w:pPr>
    </w:p>
    <w:p>
      <w:pPr>
        <w:ind w:left="1040" w:hanging="607"/>
        <w:spacing w:after="0"/>
        <w:tabs>
          <w:tab w:leader="none" w:pos="104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65" w:lineRule="exact"/>
        <w:rPr>
          <w:rFonts w:ascii="MS PGothic" w:cs="MS PGothic" w:eastAsia="MS PGothic" w:hAnsi="MS PGothic"/>
          <w:sz w:val="17"/>
          <w:szCs w:val="17"/>
          <w:color w:val="auto"/>
        </w:rPr>
      </w:pPr>
    </w:p>
    <w:p>
      <w:pPr>
        <w:ind w:left="1040"/>
        <w:spacing w:after="0"/>
        <w:rPr>
          <w:rFonts w:ascii="MS PGothic" w:cs="MS PGothic" w:eastAsia="MS PGothic" w:hAnsi="MS PGothic"/>
          <w:sz w:val="17"/>
          <w:szCs w:val="17"/>
          <w:color w:val="auto"/>
        </w:rPr>
      </w:pPr>
      <w:r>
        <w:rPr>
          <w:rFonts w:ascii="Arial" w:cs="Arial" w:eastAsia="Arial" w:hAnsi="Arial"/>
          <w:sz w:val="16"/>
          <w:szCs w:val="16"/>
          <w:b w:val="1"/>
          <w:bCs w:val="1"/>
          <w:color w:val="auto"/>
        </w:rPr>
        <w:t>For the quarterly period ended March 31, 2022</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1040" w:hanging="607"/>
        <w:spacing w:after="0"/>
        <w:tabs>
          <w:tab w:leader="none" w:pos="104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1372" w:right="339" w:bottom="1440" w:gutter="0" w:footer="0" w:header="0"/>
        </w:sectPr>
      </w:pPr>
    </w:p>
    <w:p>
      <w:pPr>
        <w:spacing w:after="0" w:line="66" w:lineRule="exact"/>
        <w:rPr>
          <w:sz w:val="24"/>
          <w:szCs w:val="24"/>
          <w:color w:val="auto"/>
        </w:rPr>
      </w:pPr>
    </w:p>
    <w:p>
      <w:pPr>
        <w:ind w:left="1040"/>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00" w:lineRule="exact"/>
        <w:rPr>
          <w:sz w:val="24"/>
          <w:szCs w:val="24"/>
          <w:color w:val="auto"/>
        </w:rPr>
      </w:pPr>
    </w:p>
    <w:p>
      <w:pPr>
        <w:sectPr>
          <w:pgSz w:w="11900" w:h="16838" w:orient="portrait"/>
          <w:cols w:equalWidth="0" w:num="2">
            <w:col w:w="3140" w:space="560"/>
            <w:col w:w="7540"/>
          </w:cols>
          <w:pgMar w:left="320" w:top="1372" w:right="339" w:bottom="1440" w:gutter="0" w:footer="0" w:header="0"/>
          <w:type w:val="continuous"/>
        </w:sectPr>
      </w:pPr>
    </w:p>
    <w:p>
      <w:pPr>
        <w:spacing w:after="0" w:line="19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001-39548</w:t>
      </w:r>
    </w:p>
    <w:p>
      <w:pPr>
        <w:spacing w:after="0" w:line="21" w:lineRule="exact"/>
        <w:rPr>
          <w:sz w:val="24"/>
          <w:szCs w:val="24"/>
          <w:color w:val="auto"/>
        </w:rPr>
      </w:pPr>
    </w:p>
    <w:p>
      <w:pPr>
        <w:ind w:left="4040"/>
        <w:spacing w:after="0"/>
        <w:rPr>
          <w:sz w:val="20"/>
          <w:szCs w:val="20"/>
          <w:color w:val="auto"/>
        </w:rPr>
      </w:pPr>
      <w:r>
        <w:rPr>
          <w:rFonts w:ascii="Arial" w:cs="Arial" w:eastAsia="Arial" w:hAnsi="Arial"/>
          <w:sz w:val="18"/>
          <w:szCs w:val="18"/>
          <w:color w:val="auto"/>
        </w:rPr>
        <w:t>___________________________________</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BENTLEY SYSTEMS, INCORPORATED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9" w:lineRule="exact"/>
        <w:rPr>
          <w:sz w:val="24"/>
          <w:szCs w:val="24"/>
          <w:color w:val="auto"/>
        </w:rPr>
      </w:pPr>
    </w:p>
    <w:p>
      <w:pPr>
        <w:ind w:left="4040"/>
        <w:spacing w:after="0"/>
        <w:rPr>
          <w:sz w:val="20"/>
          <w:szCs w:val="20"/>
          <w:color w:val="auto"/>
        </w:rPr>
      </w:pPr>
      <w:r>
        <w:rPr>
          <w:rFonts w:ascii="Arial" w:cs="Arial" w:eastAsia="Arial" w:hAnsi="Arial"/>
          <w:sz w:val="18"/>
          <w:szCs w:val="18"/>
          <w:color w:val="auto"/>
        </w:rPr>
        <w:t>___________________________________</w:t>
      </w:r>
    </w:p>
    <w:p>
      <w:pPr>
        <w:sectPr>
          <w:pgSz w:w="11900" w:h="16838" w:orient="portrait"/>
          <w:cols w:equalWidth="0" w:num="1">
            <w:col w:w="11240"/>
          </w:cols>
          <w:pgMar w:left="320" w:top="1372" w:right="339" w:bottom="1440" w:gutter="0" w:footer="0" w:header="0"/>
          <w:type w:val="continuous"/>
        </w:sectPr>
      </w:pPr>
    </w:p>
    <w:p>
      <w:pPr>
        <w:spacing w:after="0" w:line="264" w:lineRule="exact"/>
        <w:rPr>
          <w:sz w:val="24"/>
          <w:szCs w:val="24"/>
          <w:color w:val="auto"/>
        </w:rPr>
      </w:pPr>
    </w:p>
    <w:p>
      <w:pPr>
        <w:ind w:left="22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4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95-3936623</w:t>
      </w:r>
    </w:p>
    <w:p>
      <w:pPr>
        <w:spacing w:after="0" w:line="90" w:lineRule="exact"/>
        <w:rPr>
          <w:sz w:val="24"/>
          <w:szCs w:val="24"/>
          <w:color w:val="auto"/>
        </w:rPr>
      </w:pPr>
    </w:p>
    <w:p>
      <w:pPr>
        <w:sectPr>
          <w:pgSz w:w="11900" w:h="16838" w:orient="portrait"/>
          <w:cols w:equalWidth="0" w:num="2">
            <w:col w:w="7600" w:space="720"/>
            <w:col w:w="2920"/>
          </w:cols>
          <w:pgMar w:left="320" w:top="1372" w:right="339" w:bottom="1440" w:gutter="0" w:footer="0" w:header="0"/>
          <w:type w:val="continuous"/>
        </w:sectPr>
      </w:pPr>
    </w:p>
    <w:p>
      <w:pPr>
        <w:ind w:left="82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166" w:lineRule="exact"/>
        <w:rPr>
          <w:sz w:val="24"/>
          <w:szCs w:val="24"/>
          <w:color w:val="auto"/>
        </w:rPr>
      </w:pPr>
    </w:p>
    <w:p>
      <w:pPr>
        <w:sectPr>
          <w:pgSz w:w="11900" w:h="16838" w:orient="portrait"/>
          <w:cols w:equalWidth="0" w:num="2">
            <w:col w:w="6940" w:space="720"/>
            <w:col w:w="3580"/>
          </w:cols>
          <w:pgMar w:left="320" w:top="1372" w:right="339" w:bottom="1440" w:gutter="0" w:footer="0" w:header="0"/>
          <w:type w:val="continuous"/>
        </w:sectPr>
      </w:pPr>
    </w:p>
    <w:p>
      <w:pPr>
        <w:ind w:left="1880"/>
        <w:spacing w:after="0"/>
        <w:rPr>
          <w:sz w:val="20"/>
          <w:szCs w:val="20"/>
          <w:color w:val="auto"/>
        </w:rPr>
      </w:pPr>
      <w:r>
        <w:rPr>
          <w:rFonts w:ascii="Arial" w:cs="Arial" w:eastAsia="Arial" w:hAnsi="Arial"/>
          <w:sz w:val="15"/>
          <w:szCs w:val="15"/>
          <w:b w:val="1"/>
          <w:bCs w:val="1"/>
          <w:color w:val="auto"/>
        </w:rPr>
        <w:t>685 Stockton Drive</w:t>
      </w:r>
    </w:p>
    <w:p>
      <w:pPr>
        <w:spacing w:after="0" w:line="44" w:lineRule="exact"/>
        <w:rPr>
          <w:sz w:val="24"/>
          <w:szCs w:val="24"/>
          <w:color w:val="auto"/>
        </w:rPr>
      </w:pPr>
    </w:p>
    <w:p>
      <w:pPr>
        <w:ind w:left="1840"/>
        <w:spacing w:after="0"/>
        <w:rPr>
          <w:sz w:val="20"/>
          <w:szCs w:val="20"/>
          <w:color w:val="auto"/>
        </w:rPr>
      </w:pPr>
      <w:r>
        <w:rPr>
          <w:rFonts w:ascii="Arial" w:cs="Arial" w:eastAsia="Arial" w:hAnsi="Arial"/>
          <w:sz w:val="14"/>
          <w:szCs w:val="14"/>
          <w:b w:val="1"/>
          <w:bCs w:val="1"/>
          <w:color w:val="auto"/>
        </w:rPr>
        <w:t>Exton, Pennsylvania</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19341</w:t>
      </w:r>
    </w:p>
    <w:p>
      <w:pPr>
        <w:spacing w:after="0" w:line="50" w:lineRule="exact"/>
        <w:rPr>
          <w:sz w:val="24"/>
          <w:szCs w:val="24"/>
          <w:color w:val="auto"/>
        </w:rPr>
      </w:pPr>
    </w:p>
    <w:p>
      <w:pPr>
        <w:sectPr>
          <w:pgSz w:w="11900" w:h="16838" w:orient="portrait"/>
          <w:cols w:equalWidth="0" w:num="2">
            <w:col w:w="7780" w:space="720"/>
            <w:col w:w="2740"/>
          </w:cols>
          <w:pgMar w:left="320" w:top="1372" w:right="339" w:bottom="1440" w:gutter="0" w:footer="0" w:header="0"/>
          <w:type w:val="continuous"/>
        </w:sectPr>
      </w:pPr>
    </w:p>
    <w:p>
      <w:pPr>
        <w:ind w:left="140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(Zip Code)</w:t>
      </w:r>
    </w:p>
    <w:p>
      <w:pPr>
        <w:spacing w:after="0" w:line="139" w:lineRule="exact"/>
        <w:rPr>
          <w:sz w:val="24"/>
          <w:szCs w:val="24"/>
          <w:color w:val="auto"/>
        </w:rPr>
      </w:pPr>
    </w:p>
    <w:p>
      <w:pPr>
        <w:sectPr>
          <w:pgSz w:w="11900" w:h="16838" w:orient="portrait"/>
          <w:cols w:equalWidth="0" w:num="2">
            <w:col w:w="7660" w:space="720"/>
            <w:col w:w="2860"/>
          </w:cols>
          <w:pgMar w:left="320" w:top="1372" w:right="339" w:bottom="1440"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6"/>
          <w:szCs w:val="16"/>
          <w:b w:val="1"/>
          <w:bCs w:val="1"/>
          <w:color w:val="auto"/>
        </w:rPr>
        <w:t>(610) 458-5000</w:t>
      </w:r>
    </w:p>
    <w:p>
      <w:pPr>
        <w:spacing w:after="0" w:line="21" w:lineRule="exact"/>
        <w:rPr>
          <w:sz w:val="24"/>
          <w:szCs w:val="24"/>
          <w:color w:val="auto"/>
        </w:rPr>
      </w:pPr>
    </w:p>
    <w:p>
      <w:pPr>
        <w:ind w:left="4040"/>
        <w:spacing w:after="0"/>
        <w:rPr>
          <w:sz w:val="20"/>
          <w:szCs w:val="20"/>
          <w:color w:val="auto"/>
        </w:rPr>
      </w:pPr>
      <w:r>
        <w:rPr>
          <w:rFonts w:ascii="Arial" w:cs="Arial" w:eastAsia="Arial" w:hAnsi="Arial"/>
          <w:sz w:val="18"/>
          <w:szCs w:val="18"/>
          <w:color w:val="auto"/>
        </w:rPr>
        <w:t>___________________________________</w:t>
      </w: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5120" w:type="dxa"/>
            <w:vAlign w:val="bottom"/>
            <w:gridSpan w:val="3"/>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60" w:type="dxa"/>
            <w:vAlign w:val="bottom"/>
          </w:tcPr>
          <w:p>
            <w:pPr>
              <w:spacing w:after="0"/>
              <w:rPr>
                <w:sz w:val="15"/>
                <w:szCs w:val="15"/>
                <w:color w:val="auto"/>
              </w:rPr>
            </w:pPr>
          </w:p>
        </w:tc>
      </w:tr>
      <w:tr>
        <w:trPr>
          <w:trHeight w:val="451"/>
        </w:trPr>
        <w:tc>
          <w:tcPr>
            <w:tcW w:w="960" w:type="dxa"/>
            <w:vAlign w:val="bottom"/>
          </w:tcPr>
          <w:p>
            <w:pPr>
              <w:spacing w:after="0"/>
              <w:rPr>
                <w:sz w:val="24"/>
                <w:szCs w:val="24"/>
                <w:color w:val="auto"/>
              </w:rPr>
            </w:pP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Title of each class</w:t>
            </w:r>
          </w:p>
        </w:tc>
        <w:tc>
          <w:tcPr>
            <w:tcW w:w="220" w:type="dxa"/>
            <w:vAlign w:val="bottom"/>
          </w:tcPr>
          <w:p>
            <w:pPr>
              <w:spacing w:after="0"/>
              <w:rPr>
                <w:sz w:val="24"/>
                <w:szCs w:val="2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Trading Symbol</w:t>
            </w:r>
          </w:p>
        </w:tc>
        <w:tc>
          <w:tcPr>
            <w:tcW w:w="200" w:type="dxa"/>
            <w:vAlign w:val="bottom"/>
          </w:tcPr>
          <w:p>
            <w:pPr>
              <w:spacing w:after="0"/>
              <w:rPr>
                <w:sz w:val="24"/>
                <w:szCs w:val="24"/>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Name of each exchange on which registered</w:t>
            </w:r>
          </w:p>
        </w:tc>
      </w:tr>
      <w:tr>
        <w:trPr>
          <w:trHeight w:val="204"/>
        </w:trPr>
        <w:tc>
          <w:tcPr>
            <w:tcW w:w="960" w:type="dxa"/>
            <w:vAlign w:val="bottom"/>
          </w:tcPr>
          <w:p>
            <w:pPr>
              <w:spacing w:after="0"/>
              <w:rPr>
                <w:sz w:val="17"/>
                <w:szCs w:val="17"/>
                <w:color w:val="auto"/>
              </w:rPr>
            </w:pPr>
          </w:p>
        </w:tc>
        <w:tc>
          <w:tcPr>
            <w:tcW w:w="4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Class B Common Stock, par value $0.01 per share</w:t>
            </w: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BSY</w:t>
            </w:r>
          </w:p>
        </w:tc>
        <w:tc>
          <w:tcPr>
            <w:tcW w:w="3360" w:type="dxa"/>
            <w:vAlign w:val="bottom"/>
          </w:tcPr>
          <w:p>
            <w:pPr>
              <w:jc w:val="center"/>
              <w:spacing w:after="0"/>
              <w:rPr>
                <w:sz w:val="20"/>
                <w:szCs w:val="20"/>
                <w:color w:val="auto"/>
              </w:rPr>
            </w:pPr>
            <w:r>
              <w:rPr>
                <w:rFonts w:ascii="Arial" w:cs="Arial" w:eastAsia="Arial" w:hAnsi="Arial"/>
                <w:sz w:val="14"/>
                <w:szCs w:val="14"/>
                <w:b w:val="1"/>
                <w:bCs w:val="1"/>
                <w:color w:val="auto"/>
                <w:w w:val="97"/>
              </w:rPr>
              <w:t>The Nasdaq Stock Market LLC</w:t>
            </w:r>
          </w:p>
        </w:tc>
      </w:tr>
    </w:tbl>
    <w:p>
      <w:pPr>
        <w:spacing w:after="0" w:line="317" w:lineRule="exact"/>
        <w:rPr>
          <w:sz w:val="24"/>
          <w:szCs w:val="24"/>
          <w:color w:val="auto"/>
        </w:rPr>
      </w:pPr>
    </w:p>
    <w:p>
      <w:pPr>
        <w:ind w:right="20"/>
        <w:spacing w:after="0" w:line="20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205" w:lineRule="exact"/>
        <w:rPr>
          <w:sz w:val="24"/>
          <w:szCs w:val="24"/>
          <w:color w:val="auto"/>
        </w:rPr>
      </w:pPr>
    </w:p>
    <w:p>
      <w:pPr>
        <w:spacing w:after="0" w:line="208" w:lineRule="exact"/>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w:t>
      </w:r>
      <w:r>
        <w:rPr>
          <w:rFonts w:ascii="MS PGothic" w:cs="MS PGothic" w:eastAsia="MS PGothic" w:hAnsi="MS PGothic"/>
          <w:sz w:val="14"/>
          <w:szCs w:val="14"/>
          <w:color w:val="auto"/>
        </w:rPr>
        <w:t>‑</w:t>
      </w:r>
      <w:r>
        <w:rPr>
          <w:rFonts w:ascii="Arial" w:cs="Arial" w:eastAsia="Arial" w:hAnsi="Arial"/>
          <w:sz w:val="14"/>
          <w:szCs w:val="14"/>
          <w:color w:val="auto"/>
        </w:rPr>
        <w:t xml:space="preserve">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205" w:lineRule="exact"/>
        <w:rPr>
          <w:sz w:val="24"/>
          <w:szCs w:val="24"/>
          <w:color w:val="auto"/>
        </w:rPr>
      </w:pPr>
    </w:p>
    <w:p>
      <w:pPr>
        <w:spacing w:after="0" w:line="172" w:lineRule="exact"/>
        <w:rPr>
          <w:sz w:val="20"/>
          <w:szCs w:val="20"/>
          <w:color w:val="auto"/>
        </w:rPr>
      </w:pPr>
      <w:r>
        <w:rPr>
          <w:rFonts w:ascii="Arial" w:cs="Arial" w:eastAsia="Arial" w:hAnsi="Arial"/>
          <w:sz w:val="14"/>
          <w:szCs w:val="14"/>
          <w:color w:val="auto"/>
        </w:rPr>
        <w:t>Indicate by check mark whether the registrant is a large accelerated filer, an accelerated filer, a non</w:t>
      </w:r>
      <w:r>
        <w:rPr>
          <w:rFonts w:ascii="MS PGothic" w:cs="MS PGothic" w:eastAsia="MS PGothic" w:hAnsi="MS PGothic"/>
          <w:sz w:val="14"/>
          <w:szCs w:val="14"/>
          <w:color w:val="auto"/>
        </w:rPr>
        <w:t>‑</w:t>
      </w:r>
      <w:r>
        <w:rPr>
          <w:rFonts w:ascii="Arial" w:cs="Arial" w:eastAsia="Arial" w:hAnsi="Arial"/>
          <w:sz w:val="14"/>
          <w:szCs w:val="14"/>
          <w:color w:val="auto"/>
        </w:rPr>
        <w:t>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4"/>
          <w:szCs w:val="14"/>
          <w:color w:val="auto"/>
        </w:rPr>
        <w:t>‑</w:t>
      </w:r>
      <w:r>
        <w:rPr>
          <w:rFonts w:ascii="Arial" w:cs="Arial" w:eastAsia="Arial" w:hAnsi="Arial"/>
          <w:sz w:val="14"/>
          <w:szCs w:val="14"/>
          <w:color w:val="auto"/>
        </w:rPr>
        <w:t>2 of the Exchange Act.</w:t>
      </w:r>
    </w:p>
    <w:p>
      <w:pPr>
        <w:spacing w:after="0" w:line="7" w:lineRule="exact"/>
        <w:rPr>
          <w:sz w:val="24"/>
          <w:szCs w:val="24"/>
          <w:color w:val="auto"/>
        </w:rPr>
      </w:pPr>
    </w:p>
    <w:tbl>
      <w:tblPr>
        <w:tblLayout w:type="fixed"/>
        <w:tblInd w:w="1100" w:type="dxa"/>
        <w:tblCellMar>
          <w:top w:w="0" w:type="dxa"/>
          <w:left w:w="0" w:type="dxa"/>
          <w:bottom w:w="0" w:type="dxa"/>
          <w:right w:w="0" w:type="dxa"/>
        </w:tblCellMar>
      </w:tblPr>
      <w:tr>
        <w:trPr>
          <w:trHeight w:val="226"/>
        </w:trPr>
        <w:tc>
          <w:tcPr>
            <w:tcW w:w="4180" w:type="dxa"/>
            <w:vAlign w:val="bottom"/>
          </w:tcPr>
          <w:p>
            <w:pPr>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4480" w:type="dxa"/>
            <w:vAlign w:val="bottom"/>
          </w:tcPr>
          <w:p>
            <w:pPr>
              <w:ind w:left="274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r>
      <w:tr>
        <w:trPr>
          <w:trHeight w:val="233"/>
        </w:trPr>
        <w:tc>
          <w:tcPr>
            <w:tcW w:w="4180" w:type="dxa"/>
            <w:vAlign w:val="bottom"/>
          </w:tcPr>
          <w:p>
            <w:pPr>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tc>
        <w:tc>
          <w:tcPr>
            <w:tcW w:w="4480" w:type="dxa"/>
            <w:vAlign w:val="bottom"/>
          </w:tcPr>
          <w:p>
            <w:pPr>
              <w:ind w:left="2740"/>
              <w:spacing w:after="0" w:line="161" w:lineRule="exact"/>
              <w:rPr>
                <w:sz w:val="20"/>
                <w:szCs w:val="20"/>
                <w:color w:val="auto"/>
              </w:rPr>
            </w:pPr>
            <w:r>
              <w:rPr>
                <w:rFonts w:ascii="Arial" w:cs="Arial" w:eastAsia="Arial" w:hAnsi="Arial"/>
                <w:sz w:val="14"/>
                <w:szCs w:val="14"/>
                <w:color w:val="auto"/>
                <w:w w:val="92"/>
              </w:rPr>
              <w:t xml:space="preserve">Smaller reporting company </w:t>
            </w:r>
            <w:r>
              <w:rPr>
                <w:rFonts w:ascii="MS PGothic" w:cs="MS PGothic" w:eastAsia="MS PGothic" w:hAnsi="MS PGothic"/>
                <w:sz w:val="14"/>
                <w:szCs w:val="14"/>
                <w:color w:val="auto"/>
                <w:w w:val="92"/>
              </w:rPr>
              <w:t>☐</w:t>
            </w:r>
          </w:p>
        </w:tc>
      </w:tr>
      <w:tr>
        <w:trPr>
          <w:trHeight w:val="226"/>
        </w:trPr>
        <w:tc>
          <w:tcPr>
            <w:tcW w:w="4180" w:type="dxa"/>
            <w:vAlign w:val="bottom"/>
          </w:tcPr>
          <w:p>
            <w:pPr>
              <w:spacing w:after="0"/>
              <w:rPr>
                <w:sz w:val="19"/>
                <w:szCs w:val="19"/>
                <w:color w:val="auto"/>
              </w:rPr>
            </w:pPr>
          </w:p>
        </w:tc>
        <w:tc>
          <w:tcPr>
            <w:tcW w:w="4480" w:type="dxa"/>
            <w:vAlign w:val="bottom"/>
          </w:tcPr>
          <w:p>
            <w:pPr>
              <w:ind w:left="2740"/>
              <w:spacing w:after="0" w:line="161" w:lineRule="exact"/>
              <w:rPr>
                <w:sz w:val="20"/>
                <w:szCs w:val="20"/>
                <w:color w:val="auto"/>
              </w:rPr>
            </w:pPr>
            <w:r>
              <w:rPr>
                <w:rFonts w:ascii="Arial" w:cs="Arial" w:eastAsia="Arial" w:hAnsi="Arial"/>
                <w:sz w:val="14"/>
                <w:szCs w:val="14"/>
                <w:color w:val="auto"/>
                <w:w w:val="93"/>
              </w:rPr>
              <w:t xml:space="preserve">Emerging growth company </w:t>
            </w:r>
            <w:r>
              <w:rPr>
                <w:rFonts w:ascii="MS PGothic" w:cs="MS PGothic" w:eastAsia="MS PGothic" w:hAnsi="MS PGothic"/>
                <w:sz w:val="14"/>
                <w:szCs w:val="14"/>
                <w:color w:val="auto"/>
                <w:w w:val="93"/>
              </w:rPr>
              <w:t>☐</w:t>
            </w:r>
          </w:p>
        </w:tc>
      </w:tr>
    </w:tbl>
    <w:p>
      <w:pPr>
        <w:spacing w:after="0" w:line="85" w:lineRule="exact"/>
        <w:rPr>
          <w:sz w:val="24"/>
          <w:szCs w:val="24"/>
          <w:color w:val="auto"/>
        </w:rPr>
      </w:pPr>
    </w:p>
    <w:p>
      <w:pPr>
        <w:spacing w:after="0" w:line="20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77" w:lineRule="exact"/>
        <w:rPr>
          <w:sz w:val="24"/>
          <w:szCs w:val="24"/>
          <w:color w:val="auto"/>
        </w:rPr>
      </w:pPr>
    </w:p>
    <w:p>
      <w:pPr>
        <w:spacing w:after="0" w:line="196" w:lineRule="exact"/>
        <w:rPr>
          <w:sz w:val="20"/>
          <w:szCs w:val="20"/>
          <w:color w:val="auto"/>
        </w:rPr>
      </w:pPr>
      <w:r>
        <w:rPr>
          <w:rFonts w:ascii="Arial" w:cs="Arial" w:eastAsia="Arial" w:hAnsi="Arial"/>
          <w:sz w:val="14"/>
          <w:szCs w:val="14"/>
          <w:color w:val="auto"/>
        </w:rPr>
        <w:t>Indicate by check mark whether the registrant is a shell company (as defined in Rule 12b</w:t>
      </w:r>
      <w:r>
        <w:rPr>
          <w:rFonts w:ascii="MS PGothic" w:cs="MS PGothic" w:eastAsia="MS PGothic" w:hAnsi="MS PGothic"/>
          <w:sz w:val="14"/>
          <w:szCs w:val="14"/>
          <w:color w:val="auto"/>
        </w:rPr>
        <w:t>‑</w:t>
      </w:r>
      <w:r>
        <w:rPr>
          <w:rFonts w:ascii="Arial" w:cs="Arial" w:eastAsia="Arial" w:hAnsi="Arial"/>
          <w:sz w:val="14"/>
          <w:szCs w:val="14"/>
          <w:color w:val="auto"/>
        </w:rPr>
        <w:t xml:space="preserve">2 of the Exchange Act).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292" w:lineRule="exact"/>
        <w:rPr>
          <w:sz w:val="24"/>
          <w:szCs w:val="24"/>
          <w:color w:val="auto"/>
        </w:rPr>
      </w:pPr>
    </w:p>
    <w:p>
      <w:pPr>
        <w:spacing w:after="0"/>
        <w:rPr>
          <w:sz w:val="20"/>
          <w:szCs w:val="20"/>
          <w:color w:val="auto"/>
        </w:rPr>
      </w:pPr>
      <w:r>
        <w:rPr>
          <w:rFonts w:ascii="Arial" w:cs="Arial" w:eastAsia="Arial" w:hAnsi="Arial"/>
          <w:sz w:val="14"/>
          <w:szCs w:val="14"/>
          <w:color w:val="auto"/>
        </w:rPr>
        <w:t>As of May 3, 2022, the registrant had 11,601,757 shares of Class A and 275,932,539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676910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72" w:right="339" w:bottom="1440" w:gutter="0" w:footer="0" w:header="0"/>
          <w:type w:val="continuous"/>
        </w:sectPr>
      </w:pPr>
    </w:p>
    <w:bookmarkStart w:id="1" w:name="page2"/>
    <w:bookmarkEnd w:id="1"/>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BENTLEY SYSTEMS, INCORPORATED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500" w:type="dxa"/>
            <w:vAlign w:val="bottom"/>
            <w:gridSpan w:val="21"/>
            <w:vMerge w:val="restart"/>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PART I. FINANCIAL INFORMATION</w:t>
              </w:r>
            </w:hyperlink>
          </w:p>
        </w:tc>
        <w:tc>
          <w:tcPr>
            <w:tcW w:w="72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69"/>
        </w:trPr>
        <w:tc>
          <w:tcPr>
            <w:tcW w:w="10500" w:type="dxa"/>
            <w:vAlign w:val="bottom"/>
            <w:gridSpan w:val="21"/>
            <w:vMerge w:val="continue"/>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 w:type="dxa"/>
            <w:vAlign w:val="bottom"/>
          </w:tcPr>
          <w:p>
            <w:pPr>
              <w:spacing w:after="0"/>
              <w:rPr>
                <w:sz w:val="19"/>
                <w:szCs w:val="19"/>
                <w:color w:val="auto"/>
              </w:rPr>
            </w:pPr>
          </w:p>
        </w:tc>
        <w:tc>
          <w:tcPr>
            <w:tcW w:w="3860" w:type="dxa"/>
            <w:vAlign w:val="bottom"/>
            <w:tcBorders>
              <w:bottom w:val="single" w:sz="8" w:color="0000FF"/>
            </w:tcBorders>
            <w:gridSpan w:val="11"/>
          </w:tcPr>
          <w:p>
            <w:pPr>
              <w:spacing w:after="0"/>
              <w:rPr>
                <w:rFonts w:ascii="Arial" w:cs="Arial" w:eastAsia="Arial" w:hAnsi="Arial"/>
                <w:sz w:val="18"/>
                <w:szCs w:val="18"/>
                <w:color w:val="0000FF"/>
                <w:w w:val="90"/>
              </w:rPr>
            </w:pPr>
            <w:hyperlink w:anchor="page2">
              <w:r>
                <w:rPr>
                  <w:rFonts w:ascii="Arial" w:cs="Arial" w:eastAsia="Arial" w:hAnsi="Arial"/>
                  <w:sz w:val="18"/>
                  <w:szCs w:val="18"/>
                  <w:color w:val="0000FF"/>
                  <w:w w:val="90"/>
                </w:rPr>
                <w:t>Item 1. Unaudited Consolidated Financial Statements</w:t>
              </w:r>
            </w:hyperlink>
          </w:p>
        </w:tc>
        <w:tc>
          <w:tcPr>
            <w:tcW w:w="6480" w:type="dxa"/>
            <w:vAlign w:val="bottom"/>
            <w:gridSpan w:val="9"/>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40" w:type="dxa"/>
            <w:vAlign w:val="bottom"/>
            <w:tcBorders>
              <w:bottom w:val="single" w:sz="8" w:color="0000FF"/>
            </w:tcBorders>
            <w:gridSpan w:val="13"/>
          </w:tcPr>
          <w:p>
            <w:pPr>
              <w:ind w:left="20"/>
              <w:spacing w:after="0"/>
              <w:rPr>
                <w:rFonts w:ascii="Arial" w:cs="Arial" w:eastAsia="Arial" w:hAnsi="Arial"/>
                <w:sz w:val="18"/>
                <w:szCs w:val="18"/>
                <w:color w:val="0000FF"/>
                <w:w w:val="88"/>
              </w:rPr>
            </w:pPr>
            <w:hyperlink w:anchor="page2">
              <w:r>
                <w:rPr>
                  <w:rFonts w:ascii="Arial" w:cs="Arial" w:eastAsia="Arial" w:hAnsi="Arial"/>
                  <w:sz w:val="18"/>
                  <w:szCs w:val="18"/>
                  <w:color w:val="0000FF"/>
                  <w:w w:val="88"/>
                </w:rPr>
                <w:t xml:space="preserve">Consolidated Balance Sheets as of March </w:t>
              </w:r>
            </w:hyperlink>
            <w:r>
              <w:rPr>
                <w:rFonts w:ascii="Arial" w:cs="Arial" w:eastAsia="Arial" w:hAnsi="Arial"/>
                <w:sz w:val="18"/>
                <w:szCs w:val="18"/>
                <w:color w:val="0000FF"/>
                <w:w w:val="88"/>
              </w:rPr>
              <w:t xml:space="preserve">31, 2022 </w:t>
            </w:r>
            <w:hyperlink w:anchor="page2">
              <w:r>
                <w:rPr>
                  <w:rFonts w:ascii="Arial" w:cs="Arial" w:eastAsia="Arial" w:hAnsi="Arial"/>
                  <w:sz w:val="18"/>
                  <w:szCs w:val="18"/>
                  <w:color w:val="0000FF"/>
                  <w:w w:val="88"/>
                </w:rPr>
                <w:t xml:space="preserve">and December 31, </w:t>
              </w:r>
            </w:hyperlink>
            <w:r>
              <w:rPr>
                <w:rFonts w:ascii="Arial" w:cs="Arial" w:eastAsia="Arial" w:hAnsi="Arial"/>
                <w:sz w:val="18"/>
                <w:szCs w:val="18"/>
                <w:color w:val="0000FF"/>
                <w:w w:val="88"/>
              </w:rPr>
              <w:t>2021</w:t>
            </w: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440" w:type="dxa"/>
            <w:vAlign w:val="bottom"/>
            <w:gridSpan w:val="2"/>
          </w:tcPr>
          <w:p>
            <w:pPr>
              <w:jc w:val="center"/>
              <w:ind w:left="190"/>
              <w:spacing w:after="0"/>
              <w:rPr>
                <w:sz w:val="20"/>
                <w:szCs w:val="20"/>
                <w:color w:val="auto"/>
              </w:rPr>
            </w:pPr>
            <w:r>
              <w:rPr>
                <w:rFonts w:ascii="Arial" w:cs="Arial" w:eastAsia="Arial" w:hAnsi="Arial"/>
                <w:sz w:val="18"/>
                <w:szCs w:val="18"/>
                <w:color w:val="0000FF"/>
                <w:w w:val="79"/>
              </w:rPr>
              <w:t>3</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700" w:type="dxa"/>
            <w:vAlign w:val="bottom"/>
            <w:gridSpan w:val="14"/>
            <w:vMerge w:val="restart"/>
          </w:tcPr>
          <w:p>
            <w:pPr>
              <w:ind w:left="20"/>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Consolidated Statements of Operations for the three months ended March 31, 2022 and 2021</w:t>
              </w:r>
            </w:hyperlink>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700" w:type="dxa"/>
            <w:vAlign w:val="bottom"/>
            <w:tcBorders>
              <w:bottom w:val="single" w:sz="8" w:color="0000FF"/>
            </w:tcBorders>
            <w:gridSpan w:val="14"/>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40" w:type="dxa"/>
            <w:vAlign w:val="bottom"/>
            <w:gridSpan w:val="2"/>
          </w:tcPr>
          <w:p>
            <w:pPr>
              <w:jc w:val="center"/>
              <w:ind w:left="190"/>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20" w:type="dxa"/>
            <w:vAlign w:val="bottom"/>
            <w:gridSpan w:val="18"/>
            <w:vMerge w:val="restart"/>
          </w:tcPr>
          <w:p>
            <w:pPr>
              <w:ind w:left="20"/>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Consolidated Statements of Comprehensive Income for the three months ended March 31, 2022 and 2021</w:t>
              </w:r>
            </w:hyperlink>
          </w:p>
        </w:tc>
        <w:tc>
          <w:tcPr>
            <w:tcW w:w="2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20" w:type="dxa"/>
            <w:vAlign w:val="bottom"/>
            <w:tcBorders>
              <w:bottom w:val="single" w:sz="8" w:color="0000FF"/>
            </w:tcBorders>
            <w:gridSpan w:val="18"/>
            <w:vMerge w:val="continue"/>
          </w:tcPr>
          <w:p>
            <w:pPr>
              <w:spacing w:after="0"/>
              <w:rPr>
                <w:sz w:val="18"/>
                <w:szCs w:val="18"/>
                <w:color w:val="auto"/>
              </w:rPr>
            </w:pPr>
          </w:p>
        </w:tc>
        <w:tc>
          <w:tcPr>
            <w:tcW w:w="2560" w:type="dxa"/>
            <w:vAlign w:val="bottom"/>
          </w:tcPr>
          <w:p>
            <w:pPr>
              <w:spacing w:after="0"/>
              <w:rPr>
                <w:sz w:val="18"/>
                <w:szCs w:val="18"/>
                <w:color w:val="auto"/>
              </w:rPr>
            </w:pPr>
          </w:p>
        </w:tc>
        <w:tc>
          <w:tcPr>
            <w:tcW w:w="440" w:type="dxa"/>
            <w:vAlign w:val="bottom"/>
            <w:gridSpan w:val="2"/>
          </w:tcPr>
          <w:p>
            <w:pPr>
              <w:jc w:val="center"/>
              <w:ind w:left="190"/>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5</w:t>
              </w:r>
            </w:hyperlink>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40" w:type="dxa"/>
            <w:vAlign w:val="bottom"/>
            <w:gridSpan w:val="17"/>
            <w:vMerge w:val="restart"/>
          </w:tcPr>
          <w:p>
            <w:pPr>
              <w:ind w:left="20"/>
              <w:spacing w:after="0"/>
              <w:rPr>
                <w:rFonts w:ascii="Arial" w:cs="Arial" w:eastAsia="Arial" w:hAnsi="Arial"/>
                <w:sz w:val="18"/>
                <w:szCs w:val="18"/>
                <w:color w:val="0000FF"/>
                <w:w w:val="90"/>
              </w:rPr>
            </w:pPr>
            <w:hyperlink w:anchor="page5">
              <w:r>
                <w:rPr>
                  <w:rFonts w:ascii="Arial" w:cs="Arial" w:eastAsia="Arial" w:hAnsi="Arial"/>
                  <w:sz w:val="18"/>
                  <w:szCs w:val="18"/>
                  <w:color w:val="0000FF"/>
                  <w:w w:val="90"/>
                </w:rPr>
                <w:t>Consolidated Statements of Stockholders’ Equity for the three months ended March 31, 2022 and 2021</w:t>
              </w:r>
            </w:hyperlink>
          </w:p>
        </w:tc>
        <w:tc>
          <w:tcPr>
            <w:tcW w:w="2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40" w:type="dxa"/>
            <w:vAlign w:val="bottom"/>
            <w:tcBorders>
              <w:bottom w:val="single" w:sz="8" w:color="0000FF"/>
            </w:tcBorders>
            <w:gridSpan w:val="17"/>
            <w:vMerge w:val="continue"/>
          </w:tcPr>
          <w:p>
            <w:pPr>
              <w:spacing w:after="0"/>
              <w:rPr>
                <w:sz w:val="18"/>
                <w:szCs w:val="18"/>
                <w:color w:val="auto"/>
              </w:rPr>
            </w:pPr>
          </w:p>
        </w:tc>
        <w:tc>
          <w:tcPr>
            <w:tcW w:w="2740" w:type="dxa"/>
            <w:vAlign w:val="bottom"/>
            <w:gridSpan w:val="2"/>
          </w:tcPr>
          <w:p>
            <w:pPr>
              <w:spacing w:after="0"/>
              <w:rPr>
                <w:sz w:val="18"/>
                <w:szCs w:val="18"/>
                <w:color w:val="auto"/>
              </w:rPr>
            </w:pPr>
          </w:p>
        </w:tc>
        <w:tc>
          <w:tcPr>
            <w:tcW w:w="440" w:type="dxa"/>
            <w:vAlign w:val="bottom"/>
            <w:gridSpan w:val="2"/>
          </w:tcPr>
          <w:p>
            <w:pPr>
              <w:jc w:val="center"/>
              <w:ind w:left="190"/>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760" w:type="dxa"/>
            <w:vAlign w:val="bottom"/>
            <w:gridSpan w:val="15"/>
            <w:vMerge w:val="restart"/>
          </w:tcPr>
          <w:p>
            <w:pPr>
              <w:ind w:left="20"/>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Consolidated Statements of Cash Flows for the three months ended March 31, 2022 and 2021</w:t>
              </w:r>
            </w:hyperlink>
          </w:p>
        </w:tc>
        <w:tc>
          <w:tcPr>
            <w:tcW w:w="100" w:type="dxa"/>
            <w:vAlign w:val="bottom"/>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760" w:type="dxa"/>
            <w:vAlign w:val="bottom"/>
            <w:tcBorders>
              <w:bottom w:val="single" w:sz="8" w:color="0000FF"/>
            </w:tcBorders>
            <w:gridSpan w:val="15"/>
            <w:vMerge w:val="continue"/>
          </w:tcPr>
          <w:p>
            <w:pPr>
              <w:spacing w:after="0"/>
              <w:rPr>
                <w:sz w:val="18"/>
                <w:szCs w:val="18"/>
                <w:color w:val="auto"/>
              </w:rPr>
            </w:pPr>
          </w:p>
        </w:tc>
        <w:tc>
          <w:tcPr>
            <w:tcW w:w="100" w:type="dxa"/>
            <w:vAlign w:val="bottom"/>
          </w:tcPr>
          <w:p>
            <w:pPr>
              <w:spacing w:after="0"/>
              <w:rPr>
                <w:sz w:val="18"/>
                <w:szCs w:val="18"/>
                <w:color w:val="auto"/>
              </w:rPr>
            </w:pPr>
          </w:p>
        </w:tc>
        <w:tc>
          <w:tcPr>
            <w:tcW w:w="3320" w:type="dxa"/>
            <w:vAlign w:val="bottom"/>
            <w:gridSpan w:val="3"/>
          </w:tcPr>
          <w:p>
            <w:pPr>
              <w:spacing w:after="0"/>
              <w:rPr>
                <w:sz w:val="18"/>
                <w:szCs w:val="18"/>
                <w:color w:val="auto"/>
              </w:rPr>
            </w:pPr>
          </w:p>
        </w:tc>
        <w:tc>
          <w:tcPr>
            <w:tcW w:w="440" w:type="dxa"/>
            <w:vAlign w:val="bottom"/>
            <w:gridSpan w:val="2"/>
          </w:tcPr>
          <w:p>
            <w:pPr>
              <w:jc w:val="center"/>
              <w:ind w:left="190"/>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7</w:t>
              </w:r>
            </w:hyperlink>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60" w:type="dxa"/>
            <w:vAlign w:val="bottom"/>
            <w:gridSpan w:val="9"/>
            <w:vMerge w:val="restart"/>
          </w:tcPr>
          <w:p>
            <w:pPr>
              <w:ind w:left="20"/>
              <w:spacing w:after="0"/>
              <w:rPr>
                <w:rFonts w:ascii="Arial" w:cs="Arial" w:eastAsia="Arial" w:hAnsi="Arial"/>
                <w:sz w:val="18"/>
                <w:szCs w:val="18"/>
                <w:color w:val="0000FF"/>
                <w:w w:val="89"/>
              </w:rPr>
            </w:pPr>
            <w:hyperlink w:anchor="page8">
              <w:r>
                <w:rPr>
                  <w:rFonts w:ascii="Arial" w:cs="Arial" w:eastAsia="Arial" w:hAnsi="Arial"/>
                  <w:sz w:val="18"/>
                  <w:szCs w:val="18"/>
                  <w:color w:val="0000FF"/>
                  <w:w w:val="89"/>
                </w:rPr>
                <w:t>Notes to Consolidated Financial Statements</w:t>
              </w:r>
            </w:hyperlink>
          </w:p>
        </w:tc>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60" w:type="dxa"/>
            <w:vAlign w:val="bottom"/>
            <w:tcBorders>
              <w:bottom w:val="single" w:sz="8" w:color="0000FF"/>
            </w:tcBorders>
            <w:gridSpan w:val="9"/>
            <w:vMerge w:val="continue"/>
          </w:tcPr>
          <w:p>
            <w:pPr>
              <w:spacing w:after="0"/>
              <w:rPr>
                <w:sz w:val="18"/>
                <w:szCs w:val="18"/>
                <w:color w:val="auto"/>
              </w:rPr>
            </w:pPr>
          </w:p>
        </w:tc>
        <w:tc>
          <w:tcPr>
            <w:tcW w:w="15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gridSpan w:val="4"/>
          </w:tcPr>
          <w:p>
            <w:pPr>
              <w:spacing w:after="0"/>
              <w:rPr>
                <w:sz w:val="18"/>
                <w:szCs w:val="18"/>
                <w:color w:val="auto"/>
              </w:rPr>
            </w:pPr>
          </w:p>
        </w:tc>
        <w:tc>
          <w:tcPr>
            <w:tcW w:w="3320" w:type="dxa"/>
            <w:vAlign w:val="bottom"/>
            <w:gridSpan w:val="3"/>
          </w:tcPr>
          <w:p>
            <w:pPr>
              <w:spacing w:after="0"/>
              <w:rPr>
                <w:sz w:val="18"/>
                <w:szCs w:val="18"/>
                <w:color w:val="auto"/>
              </w:rPr>
            </w:pPr>
          </w:p>
        </w:tc>
        <w:tc>
          <w:tcPr>
            <w:tcW w:w="440" w:type="dxa"/>
            <w:vAlign w:val="bottom"/>
            <w:gridSpan w:val="2"/>
          </w:tcPr>
          <w:p>
            <w:pPr>
              <w:jc w:val="center"/>
              <w:ind w:left="190"/>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9</w:t>
              </w:r>
            </w:hyperlink>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020" w:type="dxa"/>
            <w:vAlign w:val="bottom"/>
            <w:gridSpan w:val="17"/>
            <w:vMerge w:val="restart"/>
          </w:tcPr>
          <w:p>
            <w:pPr>
              <w:spacing w:after="0"/>
              <w:rPr>
                <w:rFonts w:ascii="Arial" w:cs="Arial" w:eastAsia="Arial" w:hAnsi="Arial"/>
                <w:sz w:val="18"/>
                <w:szCs w:val="18"/>
                <w:color w:val="0000FF"/>
                <w:w w:val="91"/>
              </w:rPr>
            </w:pPr>
            <w:hyperlink w:anchor="page40">
              <w:r>
                <w:rPr>
                  <w:rFonts w:ascii="Arial" w:cs="Arial" w:eastAsia="Arial" w:hAnsi="Arial"/>
                  <w:sz w:val="18"/>
                  <w:szCs w:val="18"/>
                  <w:color w:val="0000FF"/>
                  <w:w w:val="91"/>
                </w:rPr>
                <w:t>Item 2. Management’s Discussion and Analysis of Financial Condition and Results of Operations</w:t>
              </w:r>
            </w:hyperlink>
          </w:p>
        </w:tc>
        <w:tc>
          <w:tcPr>
            <w:tcW w:w="33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7020" w:type="dxa"/>
            <w:vAlign w:val="bottom"/>
            <w:tcBorders>
              <w:bottom w:val="single" w:sz="8" w:color="0000FF"/>
            </w:tcBorders>
            <w:gridSpan w:val="17"/>
            <w:vMerge w:val="continue"/>
          </w:tcPr>
          <w:p>
            <w:pPr>
              <w:spacing w:after="0"/>
              <w:rPr>
                <w:sz w:val="18"/>
                <w:szCs w:val="18"/>
                <w:color w:val="auto"/>
              </w:rPr>
            </w:pPr>
          </w:p>
        </w:tc>
        <w:tc>
          <w:tcPr>
            <w:tcW w:w="3320" w:type="dxa"/>
            <w:vAlign w:val="bottom"/>
            <w:gridSpan w:val="3"/>
          </w:tcPr>
          <w:p>
            <w:pPr>
              <w:spacing w:after="0"/>
              <w:rPr>
                <w:sz w:val="18"/>
                <w:szCs w:val="18"/>
                <w:color w:val="auto"/>
              </w:rPr>
            </w:pPr>
          </w:p>
        </w:tc>
        <w:tc>
          <w:tcPr>
            <w:tcW w:w="720" w:type="dxa"/>
            <w:vAlign w:val="bottom"/>
            <w:gridSpan w:val="3"/>
          </w:tcPr>
          <w:p>
            <w:pPr>
              <w:jc w:val="center"/>
              <w:ind w:right="20"/>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41</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920" w:type="dxa"/>
            <w:vAlign w:val="bottom"/>
            <w:gridSpan w:val="13"/>
            <w:vMerge w:val="restart"/>
          </w:tcPr>
          <w:p>
            <w:pPr>
              <w:spacing w:after="0"/>
              <w:rPr>
                <w:rFonts w:ascii="Arial" w:cs="Arial" w:eastAsia="Arial" w:hAnsi="Arial"/>
                <w:sz w:val="18"/>
                <w:szCs w:val="18"/>
                <w:color w:val="0000FF"/>
                <w:w w:val="92"/>
              </w:rPr>
            </w:pPr>
            <w:hyperlink w:anchor="page61">
              <w:r>
                <w:rPr>
                  <w:rFonts w:ascii="Arial" w:cs="Arial" w:eastAsia="Arial" w:hAnsi="Arial"/>
                  <w:sz w:val="18"/>
                  <w:szCs w:val="18"/>
                  <w:color w:val="0000FF"/>
                  <w:w w:val="92"/>
                </w:rPr>
                <w:t>Item 3. Quantitative and Qualitative Disclosures About Market Risk</w:t>
              </w:r>
            </w:hyperlink>
          </w:p>
        </w:tc>
        <w:tc>
          <w:tcPr>
            <w:tcW w:w="5420" w:type="dxa"/>
            <w:vAlign w:val="bottom"/>
            <w:gridSpan w:val="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4920" w:type="dxa"/>
            <w:vAlign w:val="bottom"/>
            <w:tcBorders>
              <w:bottom w:val="single" w:sz="8" w:color="0000FF"/>
            </w:tcBorders>
            <w:gridSpan w:val="13"/>
            <w:vMerge w:val="continue"/>
          </w:tcPr>
          <w:p>
            <w:pPr>
              <w:spacing w:after="0"/>
              <w:rPr>
                <w:sz w:val="18"/>
                <w:szCs w:val="18"/>
                <w:color w:val="auto"/>
              </w:rPr>
            </w:pPr>
          </w:p>
        </w:tc>
        <w:tc>
          <w:tcPr>
            <w:tcW w:w="5420" w:type="dxa"/>
            <w:vAlign w:val="bottom"/>
            <w:gridSpan w:val="7"/>
          </w:tcPr>
          <w:p>
            <w:pPr>
              <w:spacing w:after="0"/>
              <w:rPr>
                <w:sz w:val="18"/>
                <w:szCs w:val="18"/>
                <w:color w:val="auto"/>
              </w:rPr>
            </w:pPr>
          </w:p>
        </w:tc>
        <w:tc>
          <w:tcPr>
            <w:tcW w:w="720" w:type="dxa"/>
            <w:vAlign w:val="bottom"/>
            <w:gridSpan w:val="3"/>
          </w:tcPr>
          <w:p>
            <w:pPr>
              <w:jc w:val="center"/>
              <w:ind w:right="20"/>
              <w:spacing w:after="0"/>
              <w:rPr>
                <w:rFonts w:ascii="Arial" w:cs="Arial" w:eastAsia="Arial" w:hAnsi="Arial"/>
                <w:sz w:val="18"/>
                <w:szCs w:val="18"/>
                <w:color w:val="0000FF"/>
                <w:w w:val="89"/>
              </w:rPr>
            </w:pPr>
            <w:hyperlink w:anchor="page61">
              <w:r>
                <w:rPr>
                  <w:rFonts w:ascii="Arial" w:cs="Arial" w:eastAsia="Arial" w:hAnsi="Arial"/>
                  <w:sz w:val="18"/>
                  <w:szCs w:val="18"/>
                  <w:color w:val="0000FF"/>
                  <w:w w:val="89"/>
                </w:rPr>
                <w:t>62</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40" w:type="dxa"/>
            <w:vAlign w:val="bottom"/>
            <w:gridSpan w:val="2"/>
            <w:vMerge w:val="restart"/>
          </w:tcPr>
          <w:p>
            <w:pPr>
              <w:spacing w:after="0"/>
              <w:rPr>
                <w:rFonts w:ascii="Arial" w:cs="Arial" w:eastAsia="Arial" w:hAnsi="Arial"/>
                <w:sz w:val="18"/>
                <w:szCs w:val="18"/>
                <w:color w:val="0000FF"/>
                <w:w w:val="94"/>
              </w:rPr>
            </w:pPr>
            <w:hyperlink w:anchor="page62">
              <w:r>
                <w:rPr>
                  <w:rFonts w:ascii="Arial" w:cs="Arial" w:eastAsia="Arial" w:hAnsi="Arial"/>
                  <w:sz w:val="18"/>
                  <w:szCs w:val="18"/>
                  <w:color w:val="0000FF"/>
                  <w:w w:val="94"/>
                </w:rPr>
                <w:t>Item 4.</w:t>
              </w:r>
            </w:hyperlink>
          </w:p>
        </w:tc>
        <w:tc>
          <w:tcPr>
            <w:tcW w:w="1800" w:type="dxa"/>
            <w:vAlign w:val="bottom"/>
            <w:gridSpan w:val="5"/>
            <w:vMerge w:val="restart"/>
          </w:tcPr>
          <w:p>
            <w:pPr>
              <w:ind w:left="20"/>
              <w:spacing w:after="0"/>
              <w:rPr>
                <w:rFonts w:ascii="Arial" w:cs="Arial" w:eastAsia="Arial" w:hAnsi="Arial"/>
                <w:sz w:val="18"/>
                <w:szCs w:val="18"/>
                <w:color w:val="0000FF"/>
                <w:w w:val="88"/>
              </w:rPr>
            </w:pPr>
            <w:hyperlink w:anchor="page62">
              <w:r>
                <w:rPr>
                  <w:rFonts w:ascii="Arial" w:cs="Arial" w:eastAsia="Arial" w:hAnsi="Arial"/>
                  <w:sz w:val="18"/>
                  <w:szCs w:val="18"/>
                  <w:color w:val="0000FF"/>
                  <w:w w:val="88"/>
                </w:rPr>
                <w:t>Controls and Procedures</w:t>
              </w:r>
            </w:hyperlink>
          </w:p>
        </w:tc>
        <w:tc>
          <w:tcPr>
            <w:tcW w:w="8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544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540" w:type="dxa"/>
            <w:vAlign w:val="bottom"/>
            <w:tcBorders>
              <w:bottom w:val="single" w:sz="8" w:color="0000FF"/>
            </w:tcBorders>
            <w:gridSpan w:val="2"/>
            <w:vMerge w:val="continue"/>
          </w:tcPr>
          <w:p>
            <w:pPr>
              <w:spacing w:after="0"/>
              <w:rPr>
                <w:sz w:val="18"/>
                <w:szCs w:val="18"/>
                <w:color w:val="auto"/>
              </w:rPr>
            </w:pPr>
          </w:p>
        </w:tc>
        <w:tc>
          <w:tcPr>
            <w:tcW w:w="1800" w:type="dxa"/>
            <w:vAlign w:val="bottom"/>
            <w:tcBorders>
              <w:bottom w:val="single" w:sz="8" w:color="0000FF"/>
            </w:tcBorders>
            <w:gridSpan w:val="5"/>
            <w:vMerge w:val="continue"/>
          </w:tcPr>
          <w:p>
            <w:pPr>
              <w:spacing w:after="0"/>
              <w:rPr>
                <w:sz w:val="18"/>
                <w:szCs w:val="18"/>
                <w:color w:val="auto"/>
              </w:rPr>
            </w:pPr>
          </w:p>
        </w:tc>
        <w:tc>
          <w:tcPr>
            <w:tcW w:w="80" w:type="dxa"/>
            <w:vAlign w:val="bottom"/>
          </w:tcPr>
          <w:p>
            <w:pPr>
              <w:spacing w:after="0"/>
              <w:rPr>
                <w:sz w:val="18"/>
                <w:szCs w:val="18"/>
                <w:color w:val="auto"/>
              </w:rPr>
            </w:pPr>
          </w:p>
        </w:tc>
        <w:tc>
          <w:tcPr>
            <w:tcW w:w="2480" w:type="dxa"/>
            <w:vAlign w:val="bottom"/>
            <w:gridSpan w:val="4"/>
          </w:tcPr>
          <w:p>
            <w:pPr>
              <w:spacing w:after="0"/>
              <w:rPr>
                <w:sz w:val="18"/>
                <w:szCs w:val="18"/>
                <w:color w:val="auto"/>
              </w:rPr>
            </w:pPr>
          </w:p>
        </w:tc>
        <w:tc>
          <w:tcPr>
            <w:tcW w:w="5440" w:type="dxa"/>
            <w:vAlign w:val="bottom"/>
            <w:gridSpan w:val="8"/>
          </w:tcPr>
          <w:p>
            <w:pPr>
              <w:spacing w:after="0"/>
              <w:rPr>
                <w:sz w:val="18"/>
                <w:szCs w:val="18"/>
                <w:color w:val="auto"/>
              </w:rPr>
            </w:pPr>
          </w:p>
        </w:tc>
        <w:tc>
          <w:tcPr>
            <w:tcW w:w="720" w:type="dxa"/>
            <w:vAlign w:val="bottom"/>
            <w:gridSpan w:val="3"/>
          </w:tcPr>
          <w:p>
            <w:pPr>
              <w:jc w:val="center"/>
              <w:ind w:right="20"/>
              <w:spacing w:after="0"/>
              <w:rPr>
                <w:rFonts w:ascii="Arial" w:cs="Arial" w:eastAsia="Arial" w:hAnsi="Arial"/>
                <w:sz w:val="18"/>
                <w:szCs w:val="18"/>
                <w:color w:val="0000FF"/>
                <w:w w:val="89"/>
              </w:rPr>
            </w:pPr>
            <w:hyperlink w:anchor="page62">
              <w:r>
                <w:rPr>
                  <w:rFonts w:ascii="Arial" w:cs="Arial" w:eastAsia="Arial" w:hAnsi="Arial"/>
                  <w:sz w:val="18"/>
                  <w:szCs w:val="18"/>
                  <w:color w:val="0000FF"/>
                  <w:w w:val="89"/>
                </w:rPr>
                <w:t>62</w:t>
              </w:r>
            </w:hyperlink>
          </w:p>
        </w:tc>
        <w:tc>
          <w:tcPr>
            <w:tcW w:w="0" w:type="dxa"/>
            <w:vAlign w:val="bottom"/>
          </w:tcPr>
          <w:p>
            <w:pPr>
              <w:spacing w:after="0"/>
              <w:rPr>
                <w:sz w:val="1"/>
                <w:szCs w:val="1"/>
                <w:color w:val="auto"/>
              </w:rPr>
            </w:pPr>
          </w:p>
        </w:tc>
      </w:tr>
      <w:tr>
        <w:trPr>
          <w:trHeight w:val="20"/>
        </w:trPr>
        <w:tc>
          <w:tcPr>
            <w:tcW w:w="2580" w:type="dxa"/>
            <w:vAlign w:val="bottom"/>
            <w:gridSpan w:val="9"/>
            <w:vMerge w:val="restart"/>
          </w:tcPr>
          <w:p>
            <w:pPr>
              <w:spacing w:after="0"/>
              <w:rPr>
                <w:rFonts w:ascii="Arial" w:cs="Arial" w:eastAsia="Arial" w:hAnsi="Arial"/>
                <w:sz w:val="18"/>
                <w:szCs w:val="18"/>
                <w:color w:val="0000FF"/>
                <w:w w:val="95"/>
              </w:rPr>
            </w:pPr>
            <w:hyperlink w:anchor="page62">
              <w:r>
                <w:rPr>
                  <w:rFonts w:ascii="Arial" w:cs="Arial" w:eastAsia="Arial" w:hAnsi="Arial"/>
                  <w:sz w:val="18"/>
                  <w:szCs w:val="18"/>
                  <w:color w:val="0000FF"/>
                  <w:w w:val="95"/>
                </w:rPr>
                <w:t>PART II. OTHER INFORMATION</w:t>
              </w:r>
            </w:hyperlink>
          </w:p>
        </w:tc>
        <w:tc>
          <w:tcPr>
            <w:tcW w:w="7920" w:type="dxa"/>
            <w:vAlign w:val="bottom"/>
            <w:gridSpan w:val="12"/>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2580" w:type="dxa"/>
            <w:vAlign w:val="bottom"/>
            <w:tcBorders>
              <w:bottom w:val="single" w:sz="8" w:color="0000FF"/>
            </w:tcBorders>
            <w:gridSpan w:val="9"/>
            <w:vMerge w:val="continue"/>
          </w:tcPr>
          <w:p>
            <w:pPr>
              <w:spacing w:after="0"/>
              <w:rPr>
                <w:sz w:val="24"/>
                <w:szCs w:val="24"/>
                <w:color w:val="auto"/>
              </w:rPr>
            </w:pPr>
          </w:p>
        </w:tc>
        <w:tc>
          <w:tcPr>
            <w:tcW w:w="7920" w:type="dxa"/>
            <w:vAlign w:val="bottom"/>
            <w:gridSpan w:val="12"/>
            <w:vMerge w:val="continue"/>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540" w:type="dxa"/>
            <w:vAlign w:val="bottom"/>
            <w:tcBorders>
              <w:bottom w:val="single" w:sz="8" w:color="0000FF"/>
            </w:tcBorders>
            <w:gridSpan w:val="2"/>
          </w:tcPr>
          <w:p>
            <w:pPr>
              <w:spacing w:after="0"/>
              <w:rPr>
                <w:rFonts w:ascii="Arial" w:cs="Arial" w:eastAsia="Arial" w:hAnsi="Arial"/>
                <w:sz w:val="18"/>
                <w:szCs w:val="18"/>
                <w:color w:val="0000FF"/>
                <w:w w:val="94"/>
              </w:rPr>
            </w:pPr>
            <w:hyperlink w:anchor="page62">
              <w:r>
                <w:rPr>
                  <w:rFonts w:ascii="Arial" w:cs="Arial" w:eastAsia="Arial" w:hAnsi="Arial"/>
                  <w:sz w:val="18"/>
                  <w:szCs w:val="18"/>
                  <w:color w:val="0000FF"/>
                  <w:w w:val="94"/>
                </w:rPr>
                <w:t>Item 1.</w:t>
              </w:r>
            </w:hyperlink>
          </w:p>
        </w:tc>
        <w:tc>
          <w:tcPr>
            <w:tcW w:w="1360" w:type="dxa"/>
            <w:vAlign w:val="bottom"/>
            <w:tcBorders>
              <w:bottom w:val="single" w:sz="8" w:color="0000FF"/>
            </w:tcBorders>
            <w:gridSpan w:val="4"/>
          </w:tcPr>
          <w:p>
            <w:pPr>
              <w:ind w:left="20"/>
              <w:spacing w:after="0"/>
              <w:rPr>
                <w:rFonts w:ascii="Arial" w:cs="Arial" w:eastAsia="Arial" w:hAnsi="Arial"/>
                <w:sz w:val="18"/>
                <w:szCs w:val="18"/>
                <w:color w:val="0000FF"/>
                <w:w w:val="88"/>
              </w:rPr>
            </w:pPr>
            <w:hyperlink w:anchor="page62">
              <w:r>
                <w:rPr>
                  <w:rFonts w:ascii="Arial" w:cs="Arial" w:eastAsia="Arial" w:hAnsi="Arial"/>
                  <w:sz w:val="18"/>
                  <w:szCs w:val="18"/>
                  <w:color w:val="0000FF"/>
                  <w:w w:val="88"/>
                </w:rPr>
                <w:t>Legal Proceedings</w:t>
              </w:r>
            </w:hyperlink>
          </w:p>
        </w:tc>
        <w:tc>
          <w:tcPr>
            <w:tcW w:w="3000" w:type="dxa"/>
            <w:vAlign w:val="bottom"/>
            <w:gridSpan w:val="6"/>
          </w:tcPr>
          <w:p>
            <w:pPr>
              <w:spacing w:after="0"/>
              <w:rPr>
                <w:sz w:val="19"/>
                <w:szCs w:val="19"/>
                <w:color w:val="auto"/>
              </w:rPr>
            </w:pPr>
          </w:p>
        </w:tc>
        <w:tc>
          <w:tcPr>
            <w:tcW w:w="5440" w:type="dxa"/>
            <w:vAlign w:val="bottom"/>
            <w:gridSpan w:val="8"/>
          </w:tcPr>
          <w:p>
            <w:pPr>
              <w:spacing w:after="0"/>
              <w:rPr>
                <w:sz w:val="19"/>
                <w:szCs w:val="19"/>
                <w:color w:val="auto"/>
              </w:rPr>
            </w:pPr>
          </w:p>
        </w:tc>
        <w:tc>
          <w:tcPr>
            <w:tcW w:w="720" w:type="dxa"/>
            <w:vAlign w:val="bottom"/>
            <w:gridSpan w:val="3"/>
          </w:tcPr>
          <w:p>
            <w:pPr>
              <w:jc w:val="center"/>
              <w:ind w:right="20"/>
              <w:spacing w:after="0"/>
              <w:rPr>
                <w:rFonts w:ascii="Arial" w:cs="Arial" w:eastAsia="Arial" w:hAnsi="Arial"/>
                <w:sz w:val="18"/>
                <w:szCs w:val="18"/>
                <w:color w:val="0000FF"/>
                <w:w w:val="89"/>
              </w:rPr>
            </w:pPr>
            <w:hyperlink w:anchor="page62">
              <w:r>
                <w:rPr>
                  <w:rFonts w:ascii="Arial" w:cs="Arial" w:eastAsia="Arial" w:hAnsi="Arial"/>
                  <w:sz w:val="18"/>
                  <w:szCs w:val="18"/>
                  <w:color w:val="0000FF"/>
                  <w:w w:val="89"/>
                </w:rPr>
                <w:t>63</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0" w:type="dxa"/>
            <w:vAlign w:val="bottom"/>
            <w:gridSpan w:val="5"/>
            <w:vMerge w:val="restart"/>
          </w:tcPr>
          <w:p>
            <w:pPr>
              <w:spacing w:after="0"/>
              <w:rPr>
                <w:rFonts w:ascii="Arial" w:cs="Arial" w:eastAsia="Arial" w:hAnsi="Arial"/>
                <w:sz w:val="18"/>
                <w:szCs w:val="18"/>
                <w:color w:val="0000FF"/>
                <w:w w:val="91"/>
              </w:rPr>
            </w:pPr>
            <w:hyperlink w:anchor="page63">
              <w:r>
                <w:rPr>
                  <w:rFonts w:ascii="Arial" w:cs="Arial" w:eastAsia="Arial" w:hAnsi="Arial"/>
                  <w:sz w:val="18"/>
                  <w:szCs w:val="18"/>
                  <w:color w:val="0000FF"/>
                  <w:w w:val="91"/>
                </w:rPr>
                <w:t>Item 1A. Risk Factors</w:t>
              </w:r>
            </w:hyperlink>
          </w:p>
        </w:tc>
        <w:tc>
          <w:tcPr>
            <w:tcW w:w="3300" w:type="dxa"/>
            <w:vAlign w:val="bottom"/>
            <w:gridSpan w:val="7"/>
          </w:tcPr>
          <w:p>
            <w:pPr>
              <w:spacing w:after="0" w:line="20" w:lineRule="exact"/>
              <w:rPr>
                <w:sz w:val="1"/>
                <w:szCs w:val="1"/>
                <w:color w:val="auto"/>
              </w:rPr>
            </w:pPr>
          </w:p>
        </w:tc>
        <w:tc>
          <w:tcPr>
            <w:tcW w:w="544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600" w:type="dxa"/>
            <w:vAlign w:val="bottom"/>
            <w:tcBorders>
              <w:bottom w:val="single" w:sz="8" w:color="0000FF"/>
            </w:tcBorders>
            <w:gridSpan w:val="5"/>
            <w:vMerge w:val="continue"/>
          </w:tcPr>
          <w:p>
            <w:pPr>
              <w:spacing w:after="0"/>
              <w:rPr>
                <w:sz w:val="18"/>
                <w:szCs w:val="18"/>
                <w:color w:val="auto"/>
              </w:rPr>
            </w:pPr>
          </w:p>
        </w:tc>
        <w:tc>
          <w:tcPr>
            <w:tcW w:w="3300" w:type="dxa"/>
            <w:vAlign w:val="bottom"/>
            <w:gridSpan w:val="7"/>
          </w:tcPr>
          <w:p>
            <w:pPr>
              <w:spacing w:after="0"/>
              <w:rPr>
                <w:sz w:val="18"/>
                <w:szCs w:val="18"/>
                <w:color w:val="auto"/>
              </w:rPr>
            </w:pPr>
          </w:p>
        </w:tc>
        <w:tc>
          <w:tcPr>
            <w:tcW w:w="5440" w:type="dxa"/>
            <w:vAlign w:val="bottom"/>
            <w:gridSpan w:val="8"/>
          </w:tcPr>
          <w:p>
            <w:pPr>
              <w:spacing w:after="0"/>
              <w:rPr>
                <w:sz w:val="18"/>
                <w:szCs w:val="18"/>
                <w:color w:val="auto"/>
              </w:rPr>
            </w:pPr>
          </w:p>
        </w:tc>
        <w:tc>
          <w:tcPr>
            <w:tcW w:w="720" w:type="dxa"/>
            <w:vAlign w:val="bottom"/>
            <w:gridSpan w:val="3"/>
          </w:tcPr>
          <w:p>
            <w:pPr>
              <w:jc w:val="center"/>
              <w:ind w:right="20"/>
              <w:spacing w:after="0"/>
              <w:rPr>
                <w:rFonts w:ascii="Arial" w:cs="Arial" w:eastAsia="Arial" w:hAnsi="Arial"/>
                <w:sz w:val="18"/>
                <w:szCs w:val="18"/>
                <w:color w:val="0000FF"/>
                <w:w w:val="89"/>
              </w:rPr>
            </w:pPr>
            <w:hyperlink w:anchor="page63">
              <w:r>
                <w:rPr>
                  <w:rFonts w:ascii="Arial" w:cs="Arial" w:eastAsia="Arial" w:hAnsi="Arial"/>
                  <w:sz w:val="18"/>
                  <w:szCs w:val="18"/>
                  <w:color w:val="0000FF"/>
                  <w:w w:val="89"/>
                </w:rPr>
                <w:t>63</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40" w:type="dxa"/>
            <w:vAlign w:val="bottom"/>
            <w:gridSpan w:val="2"/>
            <w:vMerge w:val="restart"/>
          </w:tcPr>
          <w:p>
            <w:pPr>
              <w:spacing w:after="0"/>
              <w:rPr>
                <w:rFonts w:ascii="Arial" w:cs="Arial" w:eastAsia="Arial" w:hAnsi="Arial"/>
                <w:sz w:val="18"/>
                <w:szCs w:val="18"/>
                <w:color w:val="0000FF"/>
                <w:w w:val="94"/>
              </w:rPr>
            </w:pPr>
            <w:hyperlink w:anchor="page63">
              <w:r>
                <w:rPr>
                  <w:rFonts w:ascii="Arial" w:cs="Arial" w:eastAsia="Arial" w:hAnsi="Arial"/>
                  <w:sz w:val="18"/>
                  <w:szCs w:val="18"/>
                  <w:color w:val="0000FF"/>
                  <w:w w:val="94"/>
                </w:rPr>
                <w:t>Item 2.</w:t>
              </w:r>
            </w:hyperlink>
          </w:p>
        </w:tc>
        <w:tc>
          <w:tcPr>
            <w:tcW w:w="4360" w:type="dxa"/>
            <w:vAlign w:val="bottom"/>
            <w:gridSpan w:val="10"/>
            <w:vMerge w:val="restart"/>
          </w:tcPr>
          <w:p>
            <w:pPr>
              <w:ind w:left="20"/>
              <w:spacing w:after="0"/>
              <w:rPr>
                <w:rFonts w:ascii="Arial" w:cs="Arial" w:eastAsia="Arial" w:hAnsi="Arial"/>
                <w:sz w:val="18"/>
                <w:szCs w:val="18"/>
                <w:color w:val="0000FF"/>
                <w:w w:val="89"/>
              </w:rPr>
            </w:pPr>
            <w:hyperlink w:anchor="page63">
              <w:r>
                <w:rPr>
                  <w:rFonts w:ascii="Arial" w:cs="Arial" w:eastAsia="Arial" w:hAnsi="Arial"/>
                  <w:sz w:val="18"/>
                  <w:szCs w:val="18"/>
                  <w:color w:val="0000FF"/>
                  <w:w w:val="89"/>
                </w:rPr>
                <w:t>Unregistered Sales of Equity Securities and Use of Proceeds</w:t>
              </w:r>
            </w:hyperlink>
          </w:p>
        </w:tc>
        <w:tc>
          <w:tcPr>
            <w:tcW w:w="544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540" w:type="dxa"/>
            <w:vAlign w:val="bottom"/>
            <w:tcBorders>
              <w:bottom w:val="single" w:sz="8" w:color="0000FF"/>
            </w:tcBorders>
            <w:gridSpan w:val="2"/>
            <w:vMerge w:val="continue"/>
          </w:tcPr>
          <w:p>
            <w:pPr>
              <w:spacing w:after="0"/>
              <w:rPr>
                <w:sz w:val="18"/>
                <w:szCs w:val="18"/>
                <w:color w:val="auto"/>
              </w:rPr>
            </w:pPr>
          </w:p>
        </w:tc>
        <w:tc>
          <w:tcPr>
            <w:tcW w:w="4360" w:type="dxa"/>
            <w:vAlign w:val="bottom"/>
            <w:tcBorders>
              <w:bottom w:val="single" w:sz="8" w:color="0000FF"/>
            </w:tcBorders>
            <w:gridSpan w:val="10"/>
            <w:vMerge w:val="continue"/>
          </w:tcPr>
          <w:p>
            <w:pPr>
              <w:spacing w:after="0"/>
              <w:rPr>
                <w:sz w:val="18"/>
                <w:szCs w:val="18"/>
                <w:color w:val="auto"/>
              </w:rPr>
            </w:pPr>
          </w:p>
        </w:tc>
        <w:tc>
          <w:tcPr>
            <w:tcW w:w="5440" w:type="dxa"/>
            <w:vAlign w:val="bottom"/>
            <w:gridSpan w:val="8"/>
          </w:tcPr>
          <w:p>
            <w:pPr>
              <w:spacing w:after="0"/>
              <w:rPr>
                <w:sz w:val="18"/>
                <w:szCs w:val="18"/>
                <w:color w:val="auto"/>
              </w:rPr>
            </w:pPr>
          </w:p>
        </w:tc>
        <w:tc>
          <w:tcPr>
            <w:tcW w:w="720" w:type="dxa"/>
            <w:vAlign w:val="bottom"/>
            <w:gridSpan w:val="3"/>
          </w:tcPr>
          <w:p>
            <w:pPr>
              <w:jc w:val="center"/>
              <w:ind w:right="20"/>
              <w:spacing w:after="0"/>
              <w:rPr>
                <w:rFonts w:ascii="Arial" w:cs="Arial" w:eastAsia="Arial" w:hAnsi="Arial"/>
                <w:sz w:val="18"/>
                <w:szCs w:val="18"/>
                <w:color w:val="0000FF"/>
                <w:w w:val="89"/>
              </w:rPr>
            </w:pPr>
            <w:hyperlink w:anchor="page63">
              <w:r>
                <w:rPr>
                  <w:rFonts w:ascii="Arial" w:cs="Arial" w:eastAsia="Arial" w:hAnsi="Arial"/>
                  <w:sz w:val="18"/>
                  <w:szCs w:val="18"/>
                  <w:color w:val="0000FF"/>
                  <w:w w:val="89"/>
                </w:rPr>
                <w:t>63</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40" w:type="dxa"/>
            <w:vAlign w:val="bottom"/>
            <w:gridSpan w:val="2"/>
            <w:vMerge w:val="restart"/>
          </w:tcPr>
          <w:p>
            <w:pPr>
              <w:spacing w:after="0"/>
              <w:rPr>
                <w:rFonts w:ascii="Arial" w:cs="Arial" w:eastAsia="Arial" w:hAnsi="Arial"/>
                <w:sz w:val="18"/>
                <w:szCs w:val="18"/>
                <w:color w:val="0000FF"/>
                <w:w w:val="94"/>
              </w:rPr>
            </w:pPr>
            <w:hyperlink w:anchor="page63">
              <w:r>
                <w:rPr>
                  <w:rFonts w:ascii="Arial" w:cs="Arial" w:eastAsia="Arial" w:hAnsi="Arial"/>
                  <w:sz w:val="18"/>
                  <w:szCs w:val="18"/>
                  <w:color w:val="0000FF"/>
                  <w:w w:val="94"/>
                </w:rPr>
                <w:t>Item 6.</w:t>
              </w:r>
            </w:hyperlink>
          </w:p>
        </w:tc>
        <w:tc>
          <w:tcPr>
            <w:tcW w:w="620" w:type="dxa"/>
            <w:vAlign w:val="bottom"/>
            <w:gridSpan w:val="2"/>
            <w:vMerge w:val="restart"/>
          </w:tcPr>
          <w:p>
            <w:pPr>
              <w:ind w:left="20"/>
              <w:spacing w:after="0"/>
              <w:rPr>
                <w:rFonts w:ascii="Arial" w:cs="Arial" w:eastAsia="Arial" w:hAnsi="Arial"/>
                <w:sz w:val="18"/>
                <w:szCs w:val="18"/>
                <w:color w:val="0000FF"/>
                <w:w w:val="91"/>
              </w:rPr>
            </w:pPr>
            <w:hyperlink w:anchor="page63">
              <w:r>
                <w:rPr>
                  <w:rFonts w:ascii="Arial" w:cs="Arial" w:eastAsia="Arial" w:hAnsi="Arial"/>
                  <w:sz w:val="18"/>
                  <w:szCs w:val="18"/>
                  <w:color w:val="0000FF"/>
                  <w:w w:val="91"/>
                </w:rPr>
                <w:t>Exhibits</w:t>
              </w:r>
            </w:hyperlink>
          </w:p>
        </w:tc>
        <w:tc>
          <w:tcPr>
            <w:tcW w:w="9180" w:type="dxa"/>
            <w:vAlign w:val="bottom"/>
            <w:gridSpan w:val="1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540" w:type="dxa"/>
            <w:vAlign w:val="bottom"/>
            <w:tcBorders>
              <w:bottom w:val="single" w:sz="8" w:color="0000FF"/>
            </w:tcBorders>
            <w:gridSpan w:val="2"/>
            <w:vMerge w:val="continue"/>
          </w:tcPr>
          <w:p>
            <w:pPr>
              <w:spacing w:after="0"/>
              <w:rPr>
                <w:sz w:val="18"/>
                <w:szCs w:val="18"/>
                <w:color w:val="auto"/>
              </w:rPr>
            </w:pPr>
          </w:p>
        </w:tc>
        <w:tc>
          <w:tcPr>
            <w:tcW w:w="620" w:type="dxa"/>
            <w:vAlign w:val="bottom"/>
            <w:tcBorders>
              <w:bottom w:val="single" w:sz="8" w:color="0000FF"/>
            </w:tcBorders>
            <w:gridSpan w:val="2"/>
            <w:vMerge w:val="continue"/>
          </w:tcPr>
          <w:p>
            <w:pPr>
              <w:spacing w:after="0"/>
              <w:rPr>
                <w:sz w:val="18"/>
                <w:szCs w:val="18"/>
                <w:color w:val="auto"/>
              </w:rPr>
            </w:pPr>
          </w:p>
        </w:tc>
        <w:tc>
          <w:tcPr>
            <w:tcW w:w="9180" w:type="dxa"/>
            <w:vAlign w:val="bottom"/>
            <w:gridSpan w:val="16"/>
          </w:tcPr>
          <w:p>
            <w:pPr>
              <w:spacing w:after="0"/>
              <w:rPr>
                <w:sz w:val="18"/>
                <w:szCs w:val="18"/>
                <w:color w:val="auto"/>
              </w:rPr>
            </w:pPr>
          </w:p>
        </w:tc>
        <w:tc>
          <w:tcPr>
            <w:tcW w:w="720" w:type="dxa"/>
            <w:vAlign w:val="bottom"/>
            <w:gridSpan w:val="3"/>
          </w:tcPr>
          <w:p>
            <w:pPr>
              <w:jc w:val="center"/>
              <w:ind w:right="20"/>
              <w:spacing w:after="0"/>
              <w:rPr>
                <w:rFonts w:ascii="Arial" w:cs="Arial" w:eastAsia="Arial" w:hAnsi="Arial"/>
                <w:sz w:val="18"/>
                <w:szCs w:val="18"/>
                <w:color w:val="0000FF"/>
                <w:w w:val="89"/>
              </w:rPr>
            </w:pPr>
            <w:hyperlink w:anchor="page63">
              <w:r>
                <w:rPr>
                  <w:rFonts w:ascii="Arial" w:cs="Arial" w:eastAsia="Arial" w:hAnsi="Arial"/>
                  <w:sz w:val="18"/>
                  <w:szCs w:val="18"/>
                  <w:color w:val="0000FF"/>
                  <w:w w:val="89"/>
                </w:rPr>
                <w:t>64</w:t>
              </w:r>
            </w:hyperlink>
          </w:p>
        </w:tc>
        <w:tc>
          <w:tcPr>
            <w:tcW w:w="0" w:type="dxa"/>
            <w:vAlign w:val="bottom"/>
          </w:tcPr>
          <w:p>
            <w:pPr>
              <w:spacing w:after="0"/>
              <w:rPr>
                <w:sz w:val="1"/>
                <w:szCs w:val="1"/>
                <w:color w:val="auto"/>
              </w:rPr>
            </w:pPr>
          </w:p>
        </w:tc>
      </w:tr>
      <w:tr>
        <w:trPr>
          <w:trHeight w:val="20"/>
        </w:trPr>
        <w:tc>
          <w:tcPr>
            <w:tcW w:w="1000" w:type="dxa"/>
            <w:vAlign w:val="bottom"/>
            <w:gridSpan w:val="4"/>
          </w:tcPr>
          <w:p>
            <w:pPr>
              <w:spacing w:after="0" w:line="20" w:lineRule="exact"/>
              <w:rPr>
                <w:sz w:val="1"/>
                <w:szCs w:val="1"/>
                <w:color w:val="auto"/>
              </w:rPr>
            </w:pPr>
          </w:p>
        </w:tc>
        <w:tc>
          <w:tcPr>
            <w:tcW w:w="9500" w:type="dxa"/>
            <w:vAlign w:val="bottom"/>
            <w:gridSpan w:val="1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500" w:type="dxa"/>
            <w:vAlign w:val="bottom"/>
            <w:gridSpan w:val="21"/>
          </w:tcPr>
          <w:p>
            <w:pPr>
              <w:spacing w:after="0"/>
              <w:rPr>
                <w:rFonts w:ascii="Arial" w:cs="Arial" w:eastAsia="Arial" w:hAnsi="Arial"/>
                <w:sz w:val="18"/>
                <w:szCs w:val="18"/>
                <w:color w:val="0000FF"/>
              </w:rPr>
            </w:pPr>
            <w:hyperlink w:anchor="page64">
              <w:r>
                <w:rPr>
                  <w:rFonts w:ascii="Arial" w:cs="Arial" w:eastAsia="Arial" w:hAnsi="Arial"/>
                  <w:sz w:val="18"/>
                  <w:szCs w:val="18"/>
                  <w:color w:val="0000FF"/>
                </w:rPr>
                <w:t>SIGNATURE</w:t>
              </w:r>
            </w:hyperlink>
          </w:p>
        </w:tc>
        <w:tc>
          <w:tcPr>
            <w:tcW w:w="720" w:type="dxa"/>
            <w:vAlign w:val="bottom"/>
            <w:gridSpan w:val="3"/>
          </w:tcPr>
          <w:p>
            <w:pPr>
              <w:jc w:val="center"/>
              <w:ind w:right="20"/>
              <w:spacing w:after="0"/>
              <w:rPr>
                <w:rFonts w:ascii="Arial" w:cs="Arial" w:eastAsia="Arial" w:hAnsi="Arial"/>
                <w:sz w:val="18"/>
                <w:szCs w:val="18"/>
                <w:color w:val="0000FF"/>
                <w:w w:val="89"/>
              </w:rPr>
            </w:pPr>
            <w:hyperlink w:anchor="page64">
              <w:r>
                <w:rPr>
                  <w:rFonts w:ascii="Arial" w:cs="Arial" w:eastAsia="Arial" w:hAnsi="Arial"/>
                  <w:sz w:val="18"/>
                  <w:szCs w:val="18"/>
                  <w:color w:val="0000FF"/>
                  <w:w w:val="89"/>
                </w:rPr>
                <w:t>65</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207645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2" w:name="page3"/>
    <w:bookmarkEnd w:id="2"/>
    <w:p>
      <w:pPr>
        <w:ind w:left="4100"/>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Consolidated Financial Statements</w:t>
      </w:r>
    </w:p>
    <w:p>
      <w:pPr>
        <w:spacing w:after="0" w:line="117"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BENTLEY SYSTEMS,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2022</w:t>
            </w:r>
          </w:p>
        </w:tc>
        <w:tc>
          <w:tcPr>
            <w:tcW w:w="200" w:type="dxa"/>
            <w:vAlign w:val="bottom"/>
          </w:tcPr>
          <w:p>
            <w:pPr>
              <w:spacing w:after="0"/>
              <w:rPr>
                <w:sz w:val="16"/>
                <w:szCs w:val="16"/>
                <w:color w:val="auto"/>
              </w:rPr>
            </w:pPr>
          </w:p>
        </w:tc>
        <w:tc>
          <w:tcPr>
            <w:tcW w:w="1520" w:type="dxa"/>
            <w:vAlign w:val="bottom"/>
          </w:tcPr>
          <w:p>
            <w:pPr>
              <w:jc w:val="right"/>
              <w:ind w:right="199"/>
              <w:spacing w:after="0"/>
              <w:rPr>
                <w:sz w:val="20"/>
                <w:szCs w:val="20"/>
                <w:color w:val="auto"/>
              </w:rPr>
            </w:pPr>
            <w:r>
              <w:rPr>
                <w:rFonts w:ascii="Arial" w:cs="Arial" w:eastAsia="Arial" w:hAnsi="Arial"/>
                <w:sz w:val="14"/>
                <w:szCs w:val="14"/>
                <w:b w:val="1"/>
                <w:bCs w:val="1"/>
                <w:color w:val="auto"/>
                <w:w w:val="96"/>
              </w:rPr>
              <w:t>December 31, 2021</w:t>
            </w:r>
          </w:p>
        </w:tc>
      </w:tr>
      <w:tr>
        <w:trPr>
          <w:trHeight w:val="202"/>
        </w:trPr>
        <w:tc>
          <w:tcPr>
            <w:tcW w:w="7560" w:type="dxa"/>
            <w:vAlign w:val="bottom"/>
            <w:tcBorders>
              <w:top w:val="single" w:sz="8" w:color="CCEEFF"/>
            </w:tcBorders>
            <w:shd w:val="clear" w:color="auto" w:fill="CCEEFF"/>
          </w:tcPr>
          <w:p>
            <w:pPr>
              <w:ind w:left="350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r>
      <w:tr>
        <w:trPr>
          <w:trHeight w:val="233"/>
        </w:trPr>
        <w:tc>
          <w:tcPr>
            <w:tcW w:w="75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53"/>
        </w:trPr>
        <w:tc>
          <w:tcPr>
            <w:tcW w:w="7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129,617</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329,337</w:t>
            </w:r>
          </w:p>
        </w:tc>
      </w:tr>
      <w:tr>
        <w:trPr>
          <w:trHeight w:val="233"/>
        </w:trPr>
        <w:tc>
          <w:tcPr>
            <w:tcW w:w="7560" w:type="dxa"/>
            <w:vAlign w:val="bottom"/>
          </w:tcPr>
          <w:p>
            <w:pPr>
              <w:ind w:left="180"/>
              <w:spacing w:after="0"/>
              <w:rPr>
                <w:sz w:val="20"/>
                <w:szCs w:val="20"/>
                <w:color w:val="auto"/>
              </w:rPr>
            </w:pPr>
            <w:r>
              <w:rPr>
                <w:rFonts w:ascii="Arial" w:cs="Arial" w:eastAsia="Arial" w:hAnsi="Arial"/>
                <w:sz w:val="16"/>
                <w:szCs w:val="16"/>
                <w:color w:val="auto"/>
              </w:rPr>
              <w:t>Accounts receivable</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233,032</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241,807</w:t>
            </w:r>
          </w:p>
        </w:tc>
      </w:tr>
      <w:tr>
        <w:trPr>
          <w:trHeight w:val="253"/>
        </w:trPr>
        <w:tc>
          <w:tcPr>
            <w:tcW w:w="7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Allowance for doubtful accounts</w:t>
            </w: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(7,486)</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(6,541)</w:t>
            </w:r>
          </w:p>
        </w:tc>
      </w:tr>
      <w:tr>
        <w:trPr>
          <w:trHeight w:val="233"/>
        </w:trPr>
        <w:tc>
          <w:tcPr>
            <w:tcW w:w="7560" w:type="dxa"/>
            <w:vAlign w:val="bottom"/>
          </w:tcPr>
          <w:p>
            <w:pPr>
              <w:ind w:left="180"/>
              <w:spacing w:after="0"/>
              <w:rPr>
                <w:sz w:val="20"/>
                <w:szCs w:val="20"/>
                <w:color w:val="auto"/>
              </w:rPr>
            </w:pPr>
            <w:r>
              <w:rPr>
                <w:rFonts w:ascii="Arial" w:cs="Arial" w:eastAsia="Arial" w:hAnsi="Arial"/>
                <w:sz w:val="16"/>
                <w:szCs w:val="16"/>
                <w:color w:val="auto"/>
              </w:rPr>
              <w:t>Prepaid income taxes</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26,254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16,880</w:t>
            </w:r>
          </w:p>
        </w:tc>
      </w:tr>
      <w:tr>
        <w:trPr>
          <w:trHeight w:val="253"/>
        </w:trPr>
        <w:tc>
          <w:tcPr>
            <w:tcW w:w="7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Prepaid and other current assets</w:t>
            </w:r>
          </w:p>
        </w:tc>
        <w:tc>
          <w:tcPr>
            <w:tcW w:w="2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32,644</w:t>
            </w:r>
          </w:p>
        </w:tc>
        <w:tc>
          <w:tcPr>
            <w:tcW w:w="26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34,348</w:t>
            </w:r>
          </w:p>
        </w:tc>
      </w:tr>
      <w:tr>
        <w:trPr>
          <w:trHeight w:val="213"/>
        </w:trPr>
        <w:tc>
          <w:tcPr>
            <w:tcW w:w="7560" w:type="dxa"/>
            <w:vAlign w:val="bottom"/>
          </w:tcPr>
          <w:p>
            <w:pPr>
              <w:ind w:left="360"/>
              <w:spacing w:after="0"/>
              <w:rPr>
                <w:sz w:val="20"/>
                <w:szCs w:val="20"/>
                <w:color w:val="auto"/>
              </w:rPr>
            </w:pPr>
            <w:r>
              <w:rPr>
                <w:rFonts w:ascii="Arial" w:cs="Arial" w:eastAsia="Arial" w:hAnsi="Arial"/>
                <w:sz w:val="16"/>
                <w:szCs w:val="16"/>
                <w:color w:val="auto"/>
              </w:rPr>
              <w:t>Total current assets</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414,061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615,831</w:t>
            </w:r>
          </w:p>
        </w:tc>
      </w:tr>
      <w:tr>
        <w:trPr>
          <w:trHeight w:val="253"/>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32,043</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31,823</w:t>
            </w:r>
          </w:p>
        </w:tc>
      </w:tr>
      <w:tr>
        <w:trPr>
          <w:trHeight w:val="233"/>
        </w:trPr>
        <w:tc>
          <w:tcPr>
            <w:tcW w:w="756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49,432</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50,818</w:t>
            </w:r>
          </w:p>
        </w:tc>
      </w:tr>
      <w:tr>
        <w:trPr>
          <w:trHeight w:val="253"/>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329,029</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245,834</w:t>
            </w:r>
          </w:p>
        </w:tc>
      </w:tr>
      <w:tr>
        <w:trPr>
          <w:trHeight w:val="233"/>
        </w:trPr>
        <w:tc>
          <w:tcPr>
            <w:tcW w:w="7560" w:type="dxa"/>
            <w:vAlign w:val="bottom"/>
          </w:tcPr>
          <w:p>
            <w:pPr>
              <w:ind w:left="2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2,217,578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1,588,477</w:t>
            </w:r>
          </w:p>
        </w:tc>
      </w:tr>
      <w:tr>
        <w:trPr>
          <w:trHeight w:val="253"/>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w:t>
            </w: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8,680</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6,438</w:t>
            </w:r>
          </w:p>
        </w:tc>
      </w:tr>
      <w:tr>
        <w:trPr>
          <w:trHeight w:val="233"/>
        </w:trPr>
        <w:tc>
          <w:tcPr>
            <w:tcW w:w="756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47,683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71,376</w:t>
            </w:r>
          </w:p>
        </w:tc>
      </w:tr>
      <w:tr>
        <w:trPr>
          <w:trHeight w:val="253"/>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59,797</w:t>
            </w:r>
          </w:p>
        </w:tc>
        <w:tc>
          <w:tcPr>
            <w:tcW w:w="26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48,646</w:t>
            </w:r>
          </w:p>
        </w:tc>
      </w:tr>
      <w:tr>
        <w:trPr>
          <w:trHeight w:val="207"/>
        </w:trPr>
        <w:tc>
          <w:tcPr>
            <w:tcW w:w="7560" w:type="dxa"/>
            <w:vAlign w:val="bottom"/>
          </w:tcPr>
          <w:p>
            <w:pPr>
              <w:ind w:left="36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3,158,303</w:t>
            </w:r>
          </w:p>
        </w:tc>
        <w:tc>
          <w:tcPr>
            <w:tcW w:w="26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2,659,243</w:t>
            </w: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86"/>
        </w:trPr>
        <w:tc>
          <w:tcPr>
            <w:tcW w:w="7560" w:type="dxa"/>
            <w:vAlign w:val="bottom"/>
            <w:shd w:val="clear" w:color="auto" w:fill="CCEEFF"/>
          </w:tcPr>
          <w:p>
            <w:pPr>
              <w:ind w:left="246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233"/>
        </w:trPr>
        <w:tc>
          <w:tcPr>
            <w:tcW w:w="756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53"/>
        </w:trPr>
        <w:tc>
          <w:tcPr>
            <w:tcW w:w="7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19,058</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16,483</w:t>
            </w:r>
          </w:p>
        </w:tc>
      </w:tr>
      <w:tr>
        <w:trPr>
          <w:trHeight w:val="233"/>
        </w:trPr>
        <w:tc>
          <w:tcPr>
            <w:tcW w:w="7560" w:type="dxa"/>
            <w:vAlign w:val="bottom"/>
          </w:tcPr>
          <w:p>
            <w:pPr>
              <w:ind w:left="180"/>
              <w:spacing w:after="0"/>
              <w:rPr>
                <w:sz w:val="20"/>
                <w:szCs w:val="20"/>
                <w:color w:val="auto"/>
              </w:rPr>
            </w:pPr>
            <w:r>
              <w:rPr>
                <w:rFonts w:ascii="Arial" w:cs="Arial" w:eastAsia="Arial" w:hAnsi="Arial"/>
                <w:sz w:val="16"/>
                <w:szCs w:val="16"/>
                <w:color w:val="auto"/>
              </w:rPr>
              <w:t>Accruals and other current liabilities</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351,273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323,603</w:t>
            </w:r>
          </w:p>
        </w:tc>
      </w:tr>
      <w:tr>
        <w:trPr>
          <w:trHeight w:val="253"/>
        </w:trPr>
        <w:tc>
          <w:tcPr>
            <w:tcW w:w="7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revenues</w:t>
            </w: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215,448</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224,610</w:t>
            </w:r>
          </w:p>
        </w:tc>
      </w:tr>
      <w:tr>
        <w:trPr>
          <w:trHeight w:val="233"/>
        </w:trPr>
        <w:tc>
          <w:tcPr>
            <w:tcW w:w="7560" w:type="dxa"/>
            <w:vAlign w:val="bottom"/>
          </w:tcPr>
          <w:p>
            <w:pPr>
              <w:ind w:left="180"/>
              <w:spacing w:after="0"/>
              <w:rPr>
                <w:sz w:val="20"/>
                <w:szCs w:val="20"/>
                <w:color w:val="auto"/>
              </w:rPr>
            </w:pPr>
            <w:r>
              <w:rPr>
                <w:rFonts w:ascii="Arial" w:cs="Arial" w:eastAsia="Arial" w:hAnsi="Arial"/>
                <w:sz w:val="16"/>
                <w:szCs w:val="16"/>
                <w:color w:val="auto"/>
              </w:rPr>
              <w:t>Operating lease liabilities</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16,963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17,482</w:t>
            </w:r>
          </w:p>
        </w:tc>
      </w:tr>
      <w:tr>
        <w:trPr>
          <w:trHeight w:val="253"/>
        </w:trPr>
        <w:tc>
          <w:tcPr>
            <w:tcW w:w="7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taxes payable</w:t>
            </w: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5,048</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6,696</w:t>
            </w:r>
          </w:p>
        </w:tc>
      </w:tr>
      <w:tr>
        <w:trPr>
          <w:trHeight w:val="237"/>
        </w:trPr>
        <w:tc>
          <w:tcPr>
            <w:tcW w:w="75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Current portion of long-term debt</w:t>
            </w: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w:t>
            </w:r>
          </w:p>
        </w:tc>
        <w:tc>
          <w:tcPr>
            <w:tcW w:w="2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w:t>
            </w: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current liabilities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612,790</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593,874</w:t>
            </w:r>
          </w:p>
        </w:tc>
      </w:tr>
      <w:tr>
        <w:trPr>
          <w:trHeight w:val="233"/>
        </w:trPr>
        <w:tc>
          <w:tcPr>
            <w:tcW w:w="756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1,871,527</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1,430,992</w:t>
            </w:r>
          </w:p>
        </w:tc>
      </w:tr>
      <w:tr>
        <w:trPr>
          <w:trHeight w:val="253"/>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compensation plan liabilities</w:t>
            </w: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89,282</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94,890</w:t>
            </w:r>
          </w:p>
        </w:tc>
      </w:tr>
      <w:tr>
        <w:trPr>
          <w:trHeight w:val="233"/>
        </w:trPr>
        <w:tc>
          <w:tcPr>
            <w:tcW w:w="7560" w:type="dxa"/>
            <w:vAlign w:val="bottom"/>
          </w:tcPr>
          <w:p>
            <w:pPr>
              <w:ind w:left="20"/>
              <w:spacing w:after="0"/>
              <w:rPr>
                <w:sz w:val="20"/>
                <w:szCs w:val="20"/>
                <w:color w:val="auto"/>
              </w:rPr>
            </w:pPr>
            <w:r>
              <w:rPr>
                <w:rFonts w:ascii="Arial" w:cs="Arial" w:eastAsia="Arial" w:hAnsi="Arial"/>
                <w:sz w:val="16"/>
                <w:szCs w:val="16"/>
                <w:color w:val="auto"/>
              </w:rPr>
              <w:t>Long-term operating lease liabilities</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34,907</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35,274</w:t>
            </w:r>
          </w:p>
        </w:tc>
      </w:tr>
      <w:tr>
        <w:trPr>
          <w:trHeight w:val="253"/>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revenues</w:t>
            </w: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13,006</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7,983</w:t>
            </w:r>
          </w:p>
        </w:tc>
      </w:tr>
      <w:tr>
        <w:trPr>
          <w:trHeight w:val="233"/>
        </w:trPr>
        <w:tc>
          <w:tcPr>
            <w:tcW w:w="756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58,316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65,014</w:t>
            </w:r>
          </w:p>
        </w:tc>
      </w:tr>
      <w:tr>
        <w:trPr>
          <w:trHeight w:val="253"/>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taxes payable</w:t>
            </w: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7,718</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7,725</w:t>
            </w:r>
          </w:p>
        </w:tc>
      </w:tr>
      <w:tr>
        <w:trPr>
          <w:trHeight w:val="236"/>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w:t>
            </w: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13,104</w:t>
            </w:r>
          </w:p>
        </w:tc>
        <w:tc>
          <w:tcPr>
            <w:tcW w:w="2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14,269</w:t>
            </w:r>
          </w:p>
        </w:tc>
      </w:tr>
      <w:tr>
        <w:trPr>
          <w:trHeight w:val="230"/>
        </w:trPr>
        <w:tc>
          <w:tcPr>
            <w:tcW w:w="7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2,700,650</w:t>
            </w: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2,250,021</w:t>
            </w:r>
          </w:p>
        </w:tc>
      </w:tr>
      <w:tr>
        <w:trPr>
          <w:trHeight w:val="213"/>
        </w:trPr>
        <w:tc>
          <w:tcPr>
            <w:tcW w:w="7560" w:type="dxa"/>
            <w:vAlign w:val="bottom"/>
          </w:tcPr>
          <w:p>
            <w:pPr>
              <w:ind w:left="20"/>
              <w:spacing w:after="0"/>
              <w:rPr>
                <w:sz w:val="20"/>
                <w:szCs w:val="20"/>
                <w:color w:val="auto"/>
              </w:rPr>
            </w:pPr>
            <w:r>
              <w:rPr>
                <w:rFonts w:ascii="Arial" w:cs="Arial" w:eastAsia="Arial" w:hAnsi="Arial"/>
                <w:sz w:val="16"/>
                <w:szCs w:val="16"/>
                <w:color w:val="auto"/>
              </w:rPr>
              <w:t>Commitments and contingencies (Note 18)</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53"/>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r>
      <w:tr>
        <w:trPr>
          <w:trHeight w:val="206"/>
        </w:trPr>
        <w:tc>
          <w:tcPr>
            <w:tcW w:w="7560" w:type="dxa"/>
            <w:vAlign w:val="bottom"/>
          </w:tcPr>
          <w:p>
            <w:pPr>
              <w:ind w:left="180"/>
              <w:spacing w:after="0"/>
              <w:rPr>
                <w:sz w:val="20"/>
                <w:szCs w:val="20"/>
                <w:color w:val="auto"/>
              </w:rPr>
            </w:pPr>
            <w:r>
              <w:rPr>
                <w:rFonts w:ascii="Arial" w:cs="Arial" w:eastAsia="Arial" w:hAnsi="Arial"/>
                <w:sz w:val="16"/>
                <w:szCs w:val="16"/>
                <w:color w:val="auto"/>
                <w:w w:val="95"/>
              </w:rPr>
              <w:t>Preferred stock, $0.01 par value, authorized 100,000,000 shares; none issued or outstanding as of March 31,</w:t>
            </w: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23"/>
        </w:trPr>
        <w:tc>
          <w:tcPr>
            <w:tcW w:w="7560" w:type="dxa"/>
            <w:vAlign w:val="bottom"/>
          </w:tcPr>
          <w:p>
            <w:pPr>
              <w:ind w:left="360"/>
              <w:spacing w:after="0"/>
              <w:rPr>
                <w:sz w:val="20"/>
                <w:szCs w:val="20"/>
                <w:color w:val="auto"/>
              </w:rPr>
            </w:pPr>
            <w:r>
              <w:rPr>
                <w:rFonts w:ascii="Arial" w:cs="Arial" w:eastAsia="Arial" w:hAnsi="Arial"/>
                <w:sz w:val="16"/>
                <w:szCs w:val="16"/>
                <w:color w:val="auto"/>
              </w:rPr>
              <w:t>2022 and December 31, 2021</w:t>
            </w:r>
          </w:p>
        </w:tc>
        <w:tc>
          <w:tcPr>
            <w:tcW w:w="240" w:type="dxa"/>
            <w:vAlign w:val="bottom"/>
          </w:tcPr>
          <w:p>
            <w:pPr>
              <w:spacing w:after="0"/>
              <w:rPr>
                <w:sz w:val="19"/>
                <w:szCs w:val="19"/>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7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Class A Common Stock, $0.01 par value, authorized 100,000,000 shares; issued and outstanding</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189"/>
        </w:trPr>
        <w:tc>
          <w:tcPr>
            <w:tcW w:w="756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5"/>
              </w:rPr>
              <w:t>11,601,757 shares as of March 31, 2022 and December 31, 2021, and Class B Common Stock, $0.01 par</w:t>
            </w:r>
          </w:p>
        </w:tc>
        <w:tc>
          <w:tcPr>
            <w:tcW w:w="2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189"/>
        </w:trPr>
        <w:tc>
          <w:tcPr>
            <w:tcW w:w="756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3"/>
              </w:rPr>
              <w:t>value, authorized 1,800,000,000 shares; issued and outstanding 273,532,336 and 270,924,962 shares as of</w:t>
            </w:r>
          </w:p>
        </w:tc>
        <w:tc>
          <w:tcPr>
            <w:tcW w:w="2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226"/>
        </w:trPr>
        <w:tc>
          <w:tcPr>
            <w:tcW w:w="75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March 31, 2022 and December 31, 2021, respectively</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2,851</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2,825</w:t>
            </w:r>
          </w:p>
        </w:tc>
      </w:tr>
      <w:tr>
        <w:trPr>
          <w:trHeight w:val="233"/>
        </w:trPr>
        <w:tc>
          <w:tcPr>
            <w:tcW w:w="756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957,498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937,805</w:t>
            </w:r>
          </w:p>
        </w:tc>
      </w:tr>
      <w:tr>
        <w:trPr>
          <w:trHeight w:val="253"/>
        </w:trPr>
        <w:tc>
          <w:tcPr>
            <w:tcW w:w="7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(75,324)</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(91,774)</w:t>
            </w:r>
          </w:p>
        </w:tc>
      </w:tr>
      <w:tr>
        <w:trPr>
          <w:trHeight w:val="236"/>
        </w:trPr>
        <w:tc>
          <w:tcPr>
            <w:tcW w:w="75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Accumulated deficit</w:t>
            </w: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(427,372)</w:t>
            </w:r>
          </w:p>
        </w:tc>
        <w:tc>
          <w:tcPr>
            <w:tcW w:w="2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(439,634)</w:t>
            </w: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457,653</w:t>
            </w: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409,222</w:t>
            </w:r>
          </w:p>
        </w:tc>
      </w:tr>
      <w:tr>
        <w:trPr>
          <w:trHeight w:val="206"/>
        </w:trPr>
        <w:tc>
          <w:tcPr>
            <w:tcW w:w="7560" w:type="dxa"/>
            <w:vAlign w:val="bottom"/>
          </w:tcPr>
          <w:p>
            <w:pPr>
              <w:ind w:left="36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3,158,303</w:t>
            </w:r>
          </w:p>
        </w:tc>
        <w:tc>
          <w:tcPr>
            <w:tcW w:w="26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2,659,243</w:t>
            </w:r>
          </w:p>
        </w:tc>
      </w:tr>
      <w:tr>
        <w:trPr>
          <w:trHeight w:val="24"/>
        </w:trPr>
        <w:tc>
          <w:tcPr>
            <w:tcW w:w="75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8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type w:val="continuous"/>
        </w:sectPr>
      </w:pPr>
    </w:p>
    <w:bookmarkStart w:id="3" w:name="page4"/>
    <w:bookmarkEnd w:id="3"/>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BENTLEY SYSTEMS, INCORPORATED AND SUBSIDIARIES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71" w:lineRule="exact"/>
        <w:rPr>
          <w:sz w:val="20"/>
          <w:szCs w:val="20"/>
          <w:color w:val="auto"/>
        </w:rPr>
      </w:pPr>
    </w:p>
    <w:p>
      <w:pPr>
        <w:jc w:val="center"/>
        <w:ind w:left="7840"/>
        <w:spacing w:after="0"/>
        <w:rPr>
          <w:sz w:val="20"/>
          <w:szCs w:val="20"/>
          <w:color w:val="auto"/>
        </w:rPr>
      </w:pPr>
      <w:r>
        <w:rPr>
          <w:rFonts w:ascii="Arial" w:cs="Arial" w:eastAsia="Arial" w:hAnsi="Arial"/>
          <w:sz w:val="16"/>
          <w:szCs w:val="16"/>
          <w:b w:val="1"/>
          <w:bCs w:val="1"/>
          <w:color w:val="auto"/>
        </w:rPr>
        <w:t>Three Months Ended</w:t>
      </w:r>
    </w:p>
    <w:p>
      <w:pPr>
        <w:spacing w:after="0" w:line="32" w:lineRule="exact"/>
        <w:rPr>
          <w:sz w:val="20"/>
          <w:szCs w:val="20"/>
          <w:color w:val="auto"/>
        </w:rPr>
      </w:pPr>
    </w:p>
    <w:p>
      <w:pPr>
        <w:jc w:val="center"/>
        <w:ind w:left="784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20320</wp:posOffset>
            </wp:positionV>
            <wp:extent cx="2151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26" w:lineRule="exact"/>
        <w:rPr>
          <w:sz w:val="20"/>
          <w:szCs w:val="20"/>
          <w:color w:val="auto"/>
        </w:rPr>
      </w:pPr>
    </w:p>
    <w:p>
      <w:pPr>
        <w:jc w:val="both"/>
        <w:ind w:left="8480"/>
        <w:spacing w:after="0"/>
        <w:tabs>
          <w:tab w:leader="none" w:pos="10280" w:val="left"/>
        </w:tabs>
        <w:rPr>
          <w:sz w:val="20"/>
          <w:szCs w:val="20"/>
          <w:color w:val="auto"/>
        </w:rPr>
      </w:pPr>
      <w:r>
        <w:rPr>
          <w:rFonts w:ascii="Arial" w:cs="Arial" w:eastAsia="Arial" w:hAnsi="Arial"/>
          <w:sz w:val="16"/>
          <w:szCs w:val="16"/>
          <w:b w:val="1"/>
          <w:bCs w:val="1"/>
          <w:color w:val="auto"/>
        </w:rPr>
        <w:t>2022</w:t>
      </w:r>
      <w:r>
        <w:rPr>
          <w:sz w:val="20"/>
          <w:szCs w:val="20"/>
          <w:color w:val="auto"/>
        </w:rPr>
        <w:tab/>
      </w:r>
      <w:r>
        <w:rPr>
          <w:rFonts w:ascii="Arial" w:cs="Arial" w:eastAsia="Arial" w:hAnsi="Arial"/>
          <w:sz w:val="16"/>
          <w:szCs w:val="16"/>
          <w:b w:val="1"/>
          <w:bCs w:val="1"/>
          <w:color w:val="auto"/>
        </w:rPr>
        <w:t>2021</w:t>
      </w:r>
    </w:p>
    <w:p>
      <w:pPr>
        <w:sectPr>
          <w:pgSz w:w="11900" w:h="16838" w:orient="portrait"/>
          <w:cols w:equalWidth="0" w:num="1">
            <w:col w:w="11240"/>
          </w:cols>
          <w:pgMar w:left="320" w:top="1440" w:right="339" w:bottom="1440" w:gutter="0" w:footer="0" w:header="0"/>
        </w:sectPr>
      </w:pP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Revenues:</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Subscriptions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Perpetual licenses</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Subscriptions and licenses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Services</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revenues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Cost of revenues:</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Cost of subscriptions and licenses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Cost of services</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241,233</w:t>
            </w:r>
          </w:p>
        </w:tc>
        <w:tc>
          <w:tcPr>
            <w:tcW w:w="26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188,125</w:t>
            </w:r>
          </w:p>
        </w:tc>
      </w:tr>
      <w:tr>
        <w:trPr>
          <w:trHeight w:val="270"/>
        </w:trPr>
        <w:tc>
          <w:tcPr>
            <w:tcW w:w="5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10,205</w:t>
            </w:r>
          </w:p>
        </w:tc>
        <w:tc>
          <w:tcPr>
            <w:tcW w:w="260" w:type="dxa"/>
            <w:vAlign w:val="bottom"/>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10,116</w:t>
            </w:r>
          </w:p>
        </w:tc>
      </w:tr>
      <w:tr>
        <w:trPr>
          <w:trHeight w:val="250"/>
        </w:trPr>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251,438</w:t>
            </w: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198,241</w:t>
            </w:r>
          </w:p>
        </w:tc>
      </w:tr>
      <w:tr>
        <w:trPr>
          <w:trHeight w:val="270"/>
        </w:trPr>
        <w:tc>
          <w:tcPr>
            <w:tcW w:w="5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24,079</w:t>
            </w:r>
          </w:p>
        </w:tc>
        <w:tc>
          <w:tcPr>
            <w:tcW w:w="260" w:type="dxa"/>
            <w:vAlign w:val="bottom"/>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23,764</w:t>
            </w:r>
          </w:p>
        </w:tc>
      </w:tr>
      <w:tr>
        <w:trPr>
          <w:trHeight w:val="250"/>
        </w:trPr>
        <w:tc>
          <w:tcPr>
            <w:tcW w:w="5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275,517</w:t>
            </w:r>
          </w:p>
        </w:tc>
        <w:tc>
          <w:tcPr>
            <w:tcW w:w="26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222,005</w:t>
            </w:r>
          </w:p>
        </w:tc>
      </w:tr>
      <w:tr>
        <w:trPr>
          <w:trHeight w:val="479"/>
        </w:trPr>
        <w:tc>
          <w:tcPr>
            <w:tcW w:w="5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33,727</w:t>
            </w: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28,945</w:t>
            </w:r>
          </w:p>
        </w:tc>
      </w:tr>
      <w:tr>
        <w:trPr>
          <w:trHeight w:val="270"/>
        </w:trPr>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22,058</w:t>
            </w: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20,344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-1173480</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-830580</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-487680</wp:posOffset>
            </wp:positionV>
            <wp:extent cx="713232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-170815</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-1490980</wp:posOffset>
            </wp:positionV>
            <wp:extent cx="71323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7140" w:space="720"/>
            <w:col w:w="338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78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cost of revenues</w:t>
            </w:r>
          </w:p>
        </w:tc>
        <w:tc>
          <w:tcPr>
            <w:tcW w:w="3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55,785</w:t>
            </w:r>
          </w:p>
        </w:tc>
        <w:tc>
          <w:tcPr>
            <w:tcW w:w="26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49,289</w:t>
            </w:r>
          </w:p>
        </w:tc>
        <w:tc>
          <w:tcPr>
            <w:tcW w:w="0" w:type="dxa"/>
            <w:vAlign w:val="bottom"/>
          </w:tcPr>
          <w:p>
            <w:pPr>
              <w:spacing w:after="0"/>
              <w:rPr>
                <w:sz w:val="1"/>
                <w:szCs w:val="1"/>
                <w:color w:val="auto"/>
              </w:rPr>
            </w:pPr>
          </w:p>
        </w:tc>
      </w:tr>
      <w:tr>
        <w:trPr>
          <w:trHeight w:val="25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219,732</w:t>
            </w:r>
          </w:p>
        </w:tc>
        <w:tc>
          <w:tcPr>
            <w:tcW w:w="26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172,716</w:t>
            </w:r>
          </w:p>
        </w:tc>
        <w:tc>
          <w:tcPr>
            <w:tcW w:w="0" w:type="dxa"/>
            <w:vAlign w:val="bottom"/>
          </w:tcPr>
          <w:p>
            <w:pPr>
              <w:spacing w:after="0"/>
              <w:rPr>
                <w:sz w:val="1"/>
                <w:szCs w:val="1"/>
                <w:color w:val="auto"/>
              </w:rPr>
            </w:pPr>
          </w:p>
        </w:tc>
      </w:tr>
      <w:tr>
        <w:trPr>
          <w:trHeight w:val="209"/>
        </w:trPr>
        <w:tc>
          <w:tcPr>
            <w:tcW w:w="7860" w:type="dxa"/>
            <w:vAlign w:val="bottom"/>
          </w:tcPr>
          <w:p>
            <w:pPr>
              <w:ind w:left="20"/>
              <w:spacing w:after="0"/>
              <w:rPr>
                <w:sz w:val="20"/>
                <w:szCs w:val="20"/>
                <w:color w:val="auto"/>
              </w:rPr>
            </w:pPr>
            <w:r>
              <w:rPr>
                <w:rFonts w:ascii="Arial" w:cs="Arial" w:eastAsia="Arial" w:hAnsi="Arial"/>
                <w:sz w:val="18"/>
                <w:szCs w:val="18"/>
                <w:color w:val="auto"/>
              </w:rPr>
              <w:t>Operating expense (income):</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61,273</w:t>
            </w:r>
          </w:p>
        </w:tc>
        <w:tc>
          <w:tcPr>
            <w:tcW w:w="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47,803</w:t>
            </w:r>
          </w:p>
        </w:tc>
        <w:tc>
          <w:tcPr>
            <w:tcW w:w="0" w:type="dxa"/>
            <w:vAlign w:val="bottom"/>
          </w:tcPr>
          <w:p>
            <w:pPr>
              <w:spacing w:after="0"/>
              <w:rPr>
                <w:sz w:val="1"/>
                <w:szCs w:val="1"/>
                <w:color w:val="auto"/>
              </w:rPr>
            </w:pPr>
          </w:p>
        </w:tc>
      </w:tr>
      <w:tr>
        <w:trPr>
          <w:trHeight w:val="270"/>
        </w:trPr>
        <w:tc>
          <w:tcPr>
            <w:tcW w:w="786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45,945</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32,440</w:t>
            </w:r>
          </w:p>
        </w:tc>
        <w:tc>
          <w:tcPr>
            <w:tcW w:w="0" w:type="dxa"/>
            <w:vAlign w:val="bottom"/>
          </w:tcPr>
          <w:p>
            <w:pPr>
              <w:spacing w:after="0"/>
              <w:rPr>
                <w:sz w:val="1"/>
                <w:szCs w:val="1"/>
                <w:color w:val="auto"/>
              </w:rPr>
            </w:pPr>
          </w:p>
        </w:tc>
      </w:tr>
      <w:tr>
        <w:trPr>
          <w:trHeight w:val="270"/>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51,154</w:t>
            </w:r>
          </w:p>
        </w:tc>
        <w:tc>
          <w:tcPr>
            <w:tcW w:w="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33,221</w:t>
            </w:r>
          </w:p>
        </w:tc>
        <w:tc>
          <w:tcPr>
            <w:tcW w:w="0" w:type="dxa"/>
            <w:vAlign w:val="bottom"/>
          </w:tcPr>
          <w:p>
            <w:pPr>
              <w:spacing w:after="0"/>
              <w:rPr>
                <w:sz w:val="1"/>
                <w:szCs w:val="1"/>
                <w:color w:val="auto"/>
              </w:rPr>
            </w:pPr>
          </w:p>
        </w:tc>
      </w:tr>
      <w:tr>
        <w:trPr>
          <w:trHeight w:val="270"/>
        </w:trPr>
        <w:tc>
          <w:tcPr>
            <w:tcW w:w="7860" w:type="dxa"/>
            <w:vAlign w:val="bottom"/>
          </w:tcPr>
          <w:p>
            <w:pPr>
              <w:ind w:left="180"/>
              <w:spacing w:after="0"/>
              <w:rPr>
                <w:sz w:val="20"/>
                <w:szCs w:val="20"/>
                <w:color w:val="auto"/>
              </w:rPr>
            </w:pPr>
            <w:r>
              <w:rPr>
                <w:rFonts w:ascii="Arial" w:cs="Arial" w:eastAsia="Arial" w:hAnsi="Arial"/>
                <w:sz w:val="18"/>
                <w:szCs w:val="18"/>
                <w:color w:val="auto"/>
              </w:rPr>
              <w:t>Deferred compensation plan</w:t>
            </w: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(5,138)</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0"/>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purchased intangibles</w:t>
            </w: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9,906</w:t>
            </w:r>
          </w:p>
        </w:tc>
        <w:tc>
          <w:tcPr>
            <w:tcW w:w="26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3,438</w:t>
            </w: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163,140</w:t>
            </w:r>
          </w:p>
        </w:tc>
        <w:tc>
          <w:tcPr>
            <w:tcW w:w="2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117,069</w:t>
            </w:r>
          </w:p>
        </w:tc>
        <w:tc>
          <w:tcPr>
            <w:tcW w:w="0" w:type="dxa"/>
            <w:vAlign w:val="bottom"/>
          </w:tcPr>
          <w:p>
            <w:pPr>
              <w:spacing w:after="0"/>
              <w:rPr>
                <w:sz w:val="1"/>
                <w:szCs w:val="1"/>
                <w:color w:val="auto"/>
              </w:rPr>
            </w:pPr>
          </w:p>
        </w:tc>
      </w:tr>
      <w:tr>
        <w:trPr>
          <w:trHeight w:val="25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from operations</w:t>
            </w: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56,592</w:t>
            </w:r>
          </w:p>
        </w:tc>
        <w:tc>
          <w:tcPr>
            <w:tcW w:w="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55,647</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(7,042)</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(2,319)</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10,641</w:t>
            </w:r>
          </w:p>
        </w:tc>
        <w:tc>
          <w:tcPr>
            <w:tcW w:w="2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14,482</w:t>
            </w:r>
          </w:p>
        </w:tc>
        <w:tc>
          <w:tcPr>
            <w:tcW w:w="0" w:type="dxa"/>
            <w:vAlign w:val="bottom"/>
          </w:tcPr>
          <w:p>
            <w:pPr>
              <w:spacing w:after="0"/>
              <w:rPr>
                <w:sz w:val="1"/>
                <w:szCs w:val="1"/>
                <w:color w:val="auto"/>
              </w:rPr>
            </w:pPr>
          </w:p>
        </w:tc>
      </w:tr>
      <w:tr>
        <w:trPr>
          <w:trHeight w:val="250"/>
        </w:trPr>
        <w:tc>
          <w:tcPr>
            <w:tcW w:w="7860" w:type="dxa"/>
            <w:vAlign w:val="bottom"/>
          </w:tcPr>
          <w:p>
            <w:pPr>
              <w:ind w:left="360"/>
              <w:spacing w:after="0"/>
              <w:rPr>
                <w:sz w:val="20"/>
                <w:szCs w:val="20"/>
                <w:color w:val="auto"/>
              </w:rPr>
            </w:pPr>
            <w:r>
              <w:rPr>
                <w:rFonts w:ascii="Arial" w:cs="Arial" w:eastAsia="Arial" w:hAnsi="Arial"/>
                <w:sz w:val="18"/>
                <w:szCs w:val="18"/>
                <w:color w:val="auto"/>
              </w:rPr>
              <w:t>Income before income taxes</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60,191</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67,810</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(3,231)</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(10,358)</w:t>
            </w:r>
          </w:p>
        </w:tc>
        <w:tc>
          <w:tcPr>
            <w:tcW w:w="0" w:type="dxa"/>
            <w:vAlign w:val="bottom"/>
          </w:tcPr>
          <w:p>
            <w:pPr>
              <w:spacing w:after="0"/>
              <w:rPr>
                <w:sz w:val="1"/>
                <w:szCs w:val="1"/>
                <w:color w:val="auto"/>
              </w:rPr>
            </w:pPr>
          </w:p>
        </w:tc>
      </w:tr>
      <w:tr>
        <w:trPr>
          <w:trHeight w:val="27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from investment accounted for using the equity method, net of tax</w:t>
            </w: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26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5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56,388</w:t>
            </w:r>
          </w:p>
        </w:tc>
        <w:tc>
          <w:tcPr>
            <w:tcW w:w="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57,006</w:t>
            </w:r>
          </w:p>
        </w:tc>
        <w:tc>
          <w:tcPr>
            <w:tcW w:w="0" w:type="dxa"/>
            <w:vAlign w:val="bottom"/>
          </w:tcPr>
          <w:p>
            <w:pPr>
              <w:spacing w:after="0"/>
              <w:rPr>
                <w:sz w:val="1"/>
                <w:szCs w:val="1"/>
                <w:color w:val="auto"/>
              </w:rPr>
            </w:pPr>
          </w:p>
        </w:tc>
      </w:tr>
      <w:tr>
        <w:trPr>
          <w:trHeight w:val="27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income attributable to participating securities</w:t>
            </w: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6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 attributable to Class A and Class B common stockholders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56,379</w:t>
            </w: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57,006</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Per share information: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7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per share, basic</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Net income per share, 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6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0.18</w:t>
            </w:r>
          </w:p>
        </w:tc>
        <w:tc>
          <w:tcPr>
            <w:tcW w:w="26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shares, basic</w:t>
            </w: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307,969,672</w:t>
            </w: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302,583,452</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Weighted average shares, 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60" w:type="dxa"/>
            <w:vAlign w:val="bottom"/>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331,330,256</w:t>
            </w:r>
          </w:p>
        </w:tc>
        <w:tc>
          <w:tcPr>
            <w:tcW w:w="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321,736,649</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 w:name="page5"/>
    <w:bookmarkEnd w:id="4"/>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BENTLEY SYSTEMS,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4"/>
          </w:tcPr>
          <w:p>
            <w:pPr>
              <w:jc w:val="right"/>
              <w:ind w:right="432"/>
              <w:spacing w:after="0"/>
              <w:rPr>
                <w:sz w:val="20"/>
                <w:szCs w:val="20"/>
                <w:color w:val="auto"/>
              </w:rPr>
            </w:pPr>
            <w:r>
              <w:rPr>
                <w:rFonts w:ascii="Arial" w:cs="Arial" w:eastAsia="Arial" w:hAnsi="Arial"/>
                <w:sz w:val="16"/>
                <w:szCs w:val="16"/>
                <w:b w:val="1"/>
                <w:bCs w:val="1"/>
                <w:color w:val="auto"/>
              </w:rPr>
              <w:t>Three Months Ended</w:t>
            </w:r>
          </w:p>
        </w:tc>
      </w:tr>
      <w:tr>
        <w:trPr>
          <w:trHeight w:val="243"/>
        </w:trPr>
        <w:tc>
          <w:tcPr>
            <w:tcW w:w="87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820" w:type="dxa"/>
            <w:vAlign w:val="bottom"/>
            <w:tcBorders>
              <w:bottom w:val="single" w:sz="8" w:color="auto"/>
            </w:tcBorders>
          </w:tcPr>
          <w:p>
            <w:pPr>
              <w:spacing w:after="0"/>
              <w:rPr>
                <w:sz w:val="21"/>
                <w:szCs w:val="21"/>
                <w:color w:val="auto"/>
              </w:rPr>
            </w:pPr>
          </w:p>
        </w:tc>
      </w:tr>
      <w:tr>
        <w:trPr>
          <w:trHeight w:val="236"/>
        </w:trPr>
        <w:tc>
          <w:tcPr>
            <w:tcW w:w="87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2021</w:t>
            </w: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56,388</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57,006</w:t>
            </w: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taxes: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70"/>
        </w:trPr>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16,437</w:t>
            </w:r>
          </w:p>
        </w:tc>
        <w:tc>
          <w:tcPr>
            <w:tcW w:w="2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(9,182)</w:t>
            </w:r>
          </w:p>
        </w:tc>
      </w:tr>
      <w:tr>
        <w:trPr>
          <w:trHeight w:val="270"/>
        </w:trPr>
        <w:tc>
          <w:tcPr>
            <w:tcW w:w="87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Actuarial gain on retirement plan, net of tax effect of $(5) and $(8), respectively</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6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50"/>
        </w:trPr>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other comprehensive income (loss), net of taxes</w:t>
            </w: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16,450</w:t>
            </w:r>
          </w:p>
        </w:tc>
        <w:tc>
          <w:tcPr>
            <w:tcW w:w="26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(9,161)</w:t>
            </w:r>
          </w:p>
        </w:tc>
      </w:tr>
      <w:tr>
        <w:trPr>
          <w:trHeight w:val="223"/>
        </w:trPr>
        <w:tc>
          <w:tcPr>
            <w:tcW w:w="872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72,838</w:t>
            </w:r>
          </w:p>
        </w:tc>
        <w:tc>
          <w:tcPr>
            <w:tcW w:w="26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47,845</w:t>
            </w:r>
          </w:p>
        </w:tc>
      </w:tr>
      <w:tr>
        <w:trPr>
          <w:trHeight w:val="20"/>
        </w:trPr>
        <w:tc>
          <w:tcPr>
            <w:tcW w:w="8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BENTLEY SYSTEMS,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Three Months Ended March 31, 2022</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79"/>
        </w:trPr>
        <w:tc>
          <w:tcPr>
            <w:tcW w:w="37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6"/>
        </w:trPr>
        <w:tc>
          <w:tcPr>
            <w:tcW w:w="3700" w:type="dxa"/>
            <w:vAlign w:val="bottom"/>
          </w:tcPr>
          <w:p>
            <w:pPr>
              <w:spacing w:after="0"/>
              <w:rPr>
                <w:sz w:val="16"/>
                <w:szCs w:val="16"/>
                <w:color w:val="auto"/>
              </w:rPr>
            </w:pPr>
          </w:p>
        </w:tc>
        <w:tc>
          <w:tcPr>
            <w:tcW w:w="25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0"/>
              </w:rPr>
              <w:t>Class A and Class B</w:t>
            </w:r>
          </w:p>
        </w:tc>
        <w:tc>
          <w:tcPr>
            <w:tcW w:w="10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Total</w:t>
            </w:r>
          </w:p>
        </w:tc>
      </w:tr>
      <w:tr>
        <w:trPr>
          <w:trHeight w:val="195"/>
        </w:trPr>
        <w:tc>
          <w:tcPr>
            <w:tcW w:w="3700" w:type="dxa"/>
            <w:vAlign w:val="bottom"/>
          </w:tcPr>
          <w:p>
            <w:pPr>
              <w:spacing w:after="0"/>
              <w:rPr>
                <w:sz w:val="16"/>
                <w:szCs w:val="16"/>
                <w:color w:val="auto"/>
              </w:rPr>
            </w:pPr>
          </w:p>
        </w:tc>
        <w:tc>
          <w:tcPr>
            <w:tcW w:w="25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Common Stock</w:t>
            </w:r>
          </w:p>
        </w:tc>
        <w:tc>
          <w:tcPr>
            <w:tcW w:w="10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Arial" w:cs="Arial" w:eastAsia="Arial" w:hAnsi="Arial"/>
                <w:sz w:val="14"/>
                <w:szCs w:val="14"/>
                <w:b w:val="1"/>
                <w:bCs w:val="1"/>
                <w:color w:val="auto"/>
                <w:w w:val="90"/>
              </w:rPr>
              <w:t>Stockholders’</w:t>
            </w:r>
          </w:p>
        </w:tc>
      </w:tr>
      <w:tr>
        <w:trPr>
          <w:trHeight w:val="188"/>
        </w:trPr>
        <w:tc>
          <w:tcPr>
            <w:tcW w:w="3700" w:type="dxa"/>
            <w:vAlign w:val="bottom"/>
          </w:tcPr>
          <w:p>
            <w:pPr>
              <w:spacing w:after="0"/>
              <w:rPr>
                <w:sz w:val="16"/>
                <w:szCs w:val="16"/>
                <w:color w:val="auto"/>
              </w:rPr>
            </w:pPr>
          </w:p>
        </w:tc>
        <w:tc>
          <w:tcPr>
            <w:tcW w:w="1340" w:type="dxa"/>
            <w:vAlign w:val="bottom"/>
            <w:tcBorders>
              <w:top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6"/>
                <w:szCs w:val="16"/>
                <w:color w:val="auto"/>
              </w:rPr>
            </w:pPr>
          </w:p>
        </w:tc>
        <w:tc>
          <w:tcPr>
            <w:tcW w:w="1060" w:type="dxa"/>
            <w:vAlign w:val="bottom"/>
          </w:tcPr>
          <w:p>
            <w:pPr>
              <w:jc w:val="center"/>
              <w:ind w:right="41"/>
              <w:spacing w:after="0"/>
              <w:rPr>
                <w:sz w:val="20"/>
                <w:szCs w:val="20"/>
                <w:color w:val="auto"/>
              </w:rPr>
            </w:pPr>
            <w:r>
              <w:rPr>
                <w:rFonts w:ascii="Arial" w:cs="Arial" w:eastAsia="Arial" w:hAnsi="Arial"/>
                <w:sz w:val="14"/>
                <w:szCs w:val="14"/>
                <w:b w:val="1"/>
                <w:bCs w:val="1"/>
                <w:color w:val="auto"/>
                <w:w w:val="98"/>
              </w:rPr>
              <w:t>Equity</w:t>
            </w:r>
          </w:p>
        </w:tc>
      </w:tr>
      <w:tr>
        <w:trPr>
          <w:trHeight w:val="211"/>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December 31, 2021</w:t>
            </w:r>
          </w:p>
        </w:tc>
        <w:tc>
          <w:tcPr>
            <w:tcW w:w="12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282,526,719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937,805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(91,774)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(439,634)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409,222</w:t>
            </w:r>
          </w:p>
        </w:tc>
      </w:tr>
      <w:tr>
        <w:trPr>
          <w:trHeight w:val="240"/>
        </w:trPr>
        <w:tc>
          <w:tcPr>
            <w:tcW w:w="370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56,388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56,388</w:t>
            </w:r>
          </w:p>
        </w:tc>
      </w:tr>
      <w:tr>
        <w:trPr>
          <w:trHeight w:val="246"/>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comprehensive income</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16,450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16,450</w:t>
            </w:r>
          </w:p>
        </w:tc>
      </w:tr>
      <w:tr>
        <w:trPr>
          <w:trHeight w:val="240"/>
        </w:trPr>
        <w:tc>
          <w:tcPr>
            <w:tcW w:w="3700" w:type="dxa"/>
            <w:vAlign w:val="bottom"/>
          </w:tcPr>
          <w:p>
            <w:pPr>
              <w:ind w:left="180"/>
              <w:spacing w:after="0"/>
              <w:rPr>
                <w:sz w:val="20"/>
                <w:szCs w:val="20"/>
                <w:color w:val="auto"/>
              </w:rPr>
            </w:pPr>
            <w:r>
              <w:rPr>
                <w:rFonts w:ascii="Arial" w:cs="Arial" w:eastAsia="Arial" w:hAnsi="Arial"/>
                <w:sz w:val="16"/>
                <w:szCs w:val="16"/>
                <w:color w:val="auto"/>
              </w:rPr>
              <w:t>Dividends declared</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(8,353)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(8,353)</w:t>
            </w:r>
          </w:p>
        </w:tc>
      </w:tr>
      <w:tr>
        <w:trPr>
          <w:trHeight w:val="209"/>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Shares issued in connection with deferred</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6"/>
        </w:trPr>
        <w:tc>
          <w:tcPr>
            <w:tcW w:w="3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compensation plan, net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809,751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(24,254)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(24,246)</w:t>
            </w:r>
          </w:p>
        </w:tc>
      </w:tr>
      <w:tr>
        <w:trPr>
          <w:trHeight w:val="206"/>
        </w:trPr>
        <w:tc>
          <w:tcPr>
            <w:tcW w:w="3700" w:type="dxa"/>
            <w:vAlign w:val="bottom"/>
          </w:tcPr>
          <w:p>
            <w:pPr>
              <w:ind w:left="180"/>
              <w:spacing w:after="0"/>
              <w:rPr>
                <w:sz w:val="20"/>
                <w:szCs w:val="20"/>
                <w:color w:val="auto"/>
              </w:rPr>
            </w:pPr>
            <w:r>
              <w:rPr>
                <w:rFonts w:ascii="Arial" w:cs="Arial" w:eastAsia="Arial" w:hAnsi="Arial"/>
                <w:sz w:val="16"/>
                <w:szCs w:val="16"/>
                <w:color w:val="auto"/>
              </w:rPr>
              <w:t>Deferred compensation plan elective participant</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3"/>
        </w:trPr>
        <w:tc>
          <w:tcPr>
            <w:tcW w:w="3700" w:type="dxa"/>
            <w:vAlign w:val="bottom"/>
          </w:tcPr>
          <w:p>
            <w:pPr>
              <w:ind w:left="360"/>
              <w:spacing w:after="0"/>
              <w:rPr>
                <w:sz w:val="20"/>
                <w:szCs w:val="20"/>
                <w:color w:val="auto"/>
              </w:rPr>
            </w:pPr>
            <w:r>
              <w:rPr>
                <w:rFonts w:ascii="Arial" w:cs="Arial" w:eastAsia="Arial" w:hAnsi="Arial"/>
                <w:sz w:val="16"/>
                <w:szCs w:val="16"/>
                <w:color w:val="auto"/>
              </w:rPr>
              <w:t>deferrals</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669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669</w:t>
            </w:r>
          </w:p>
        </w:tc>
      </w:tr>
      <w:tr>
        <w:trPr>
          <w:trHeight w:val="209"/>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8"/>
              </w:rPr>
              <w:t>Shares issued in connection with Executive Bonus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6"/>
        </w:trPr>
        <w:tc>
          <w:tcPr>
            <w:tcW w:w="3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Plan, net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72,105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2,804</w:t>
            </w:r>
          </w:p>
        </w:tc>
      </w:tr>
      <w:tr>
        <w:trPr>
          <w:trHeight w:val="206"/>
        </w:trPr>
        <w:tc>
          <w:tcPr>
            <w:tcW w:w="3700" w:type="dxa"/>
            <w:vAlign w:val="bottom"/>
          </w:tcPr>
          <w:p>
            <w:pPr>
              <w:ind w:left="180"/>
              <w:spacing w:after="0"/>
              <w:rPr>
                <w:sz w:val="20"/>
                <w:szCs w:val="20"/>
                <w:color w:val="auto"/>
              </w:rPr>
            </w:pPr>
            <w:r>
              <w:rPr>
                <w:rFonts w:ascii="Arial" w:cs="Arial" w:eastAsia="Arial" w:hAnsi="Arial"/>
                <w:sz w:val="16"/>
                <w:szCs w:val="16"/>
                <w:color w:val="auto"/>
              </w:rPr>
              <w:t>Shares issued in connection with employee stock</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3"/>
        </w:trPr>
        <w:tc>
          <w:tcPr>
            <w:tcW w:w="3700" w:type="dxa"/>
            <w:vAlign w:val="bottom"/>
          </w:tcPr>
          <w:p>
            <w:pPr>
              <w:ind w:left="360"/>
              <w:spacing w:after="0"/>
              <w:rPr>
                <w:sz w:val="20"/>
                <w:szCs w:val="20"/>
                <w:color w:val="auto"/>
              </w:rPr>
            </w:pPr>
            <w:r>
              <w:rPr>
                <w:rFonts w:ascii="Arial" w:cs="Arial" w:eastAsia="Arial" w:hAnsi="Arial"/>
                <w:sz w:val="16"/>
                <w:szCs w:val="16"/>
                <w:color w:val="auto"/>
              </w:rPr>
              <w:t>purchase plan</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109,749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4,610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4,490</w:t>
            </w:r>
          </w:p>
        </w:tc>
      </w:tr>
      <w:tr>
        <w:trPr>
          <w:trHeight w:val="246"/>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 option exercises, net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1,401,249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(4,883)</w:t>
            </w:r>
          </w:p>
        </w:tc>
      </w:tr>
      <w:tr>
        <w:trPr>
          <w:trHeight w:val="240"/>
        </w:trPr>
        <w:tc>
          <w:tcPr>
            <w:tcW w:w="3700" w:type="dxa"/>
            <w:vAlign w:val="bottom"/>
          </w:tcPr>
          <w:p>
            <w:pPr>
              <w:ind w:left="180"/>
              <w:spacing w:after="0"/>
              <w:rPr>
                <w:sz w:val="20"/>
                <w:szCs w:val="20"/>
                <w:color w:val="auto"/>
              </w:rPr>
            </w:pPr>
            <w:r>
              <w:rPr>
                <w:rFonts w:ascii="Arial" w:cs="Arial" w:eastAsia="Arial" w:hAnsi="Arial"/>
                <w:sz w:val="16"/>
                <w:szCs w:val="16"/>
                <w:color w:val="auto"/>
              </w:rPr>
              <w:t>Acquisition option exercises, net</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149,855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Stock-based compensation expense</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6,667</w:t>
            </w:r>
          </w:p>
        </w:tc>
      </w:tr>
      <w:tr>
        <w:trPr>
          <w:trHeight w:val="240"/>
        </w:trPr>
        <w:tc>
          <w:tcPr>
            <w:tcW w:w="3700" w:type="dxa"/>
            <w:vAlign w:val="bottom"/>
          </w:tcPr>
          <w:p>
            <w:pPr>
              <w:ind w:left="180"/>
              <w:spacing w:after="0"/>
              <w:rPr>
                <w:sz w:val="20"/>
                <w:szCs w:val="20"/>
                <w:color w:val="auto"/>
              </w:rPr>
            </w:pPr>
            <w:r>
              <w:rPr>
                <w:rFonts w:ascii="Arial" w:cs="Arial" w:eastAsia="Arial" w:hAnsi="Arial"/>
                <w:sz w:val="16"/>
                <w:szCs w:val="16"/>
                <w:color w:val="auto"/>
              </w:rPr>
              <w:t>Shares related to restricted stock, net</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64,665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(1,555)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(1,555)</w:t>
            </w:r>
          </w:p>
        </w:tc>
      </w:tr>
      <w:tr>
        <w:trPr>
          <w:trHeight w:val="238"/>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March 31, 2022</w:t>
            </w:r>
          </w:p>
        </w:tc>
        <w:tc>
          <w:tcPr>
            <w:tcW w:w="12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285,134,093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957,498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(75,324)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(427,372)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457,653</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522"/>
        </w:trPr>
        <w:tc>
          <w:tcPr>
            <w:tcW w:w="370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Three Months Ended March 31, 2021</w:t>
            </w: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179"/>
        </w:trPr>
        <w:tc>
          <w:tcPr>
            <w:tcW w:w="37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6"/>
        </w:trPr>
        <w:tc>
          <w:tcPr>
            <w:tcW w:w="3700" w:type="dxa"/>
            <w:vAlign w:val="bottom"/>
          </w:tcPr>
          <w:p>
            <w:pPr>
              <w:spacing w:after="0"/>
              <w:rPr>
                <w:sz w:val="16"/>
                <w:szCs w:val="16"/>
                <w:color w:val="auto"/>
              </w:rPr>
            </w:pPr>
          </w:p>
        </w:tc>
        <w:tc>
          <w:tcPr>
            <w:tcW w:w="25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0"/>
              </w:rPr>
              <w:t>Class A and Class B</w:t>
            </w:r>
          </w:p>
        </w:tc>
        <w:tc>
          <w:tcPr>
            <w:tcW w:w="10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Total</w:t>
            </w:r>
          </w:p>
        </w:tc>
      </w:tr>
      <w:tr>
        <w:trPr>
          <w:trHeight w:val="195"/>
        </w:trPr>
        <w:tc>
          <w:tcPr>
            <w:tcW w:w="3700" w:type="dxa"/>
            <w:vAlign w:val="bottom"/>
          </w:tcPr>
          <w:p>
            <w:pPr>
              <w:spacing w:after="0"/>
              <w:rPr>
                <w:sz w:val="16"/>
                <w:szCs w:val="16"/>
                <w:color w:val="auto"/>
              </w:rPr>
            </w:pPr>
          </w:p>
        </w:tc>
        <w:tc>
          <w:tcPr>
            <w:tcW w:w="25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Common Stock</w:t>
            </w:r>
          </w:p>
        </w:tc>
        <w:tc>
          <w:tcPr>
            <w:tcW w:w="10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Arial" w:cs="Arial" w:eastAsia="Arial" w:hAnsi="Arial"/>
                <w:sz w:val="14"/>
                <w:szCs w:val="14"/>
                <w:b w:val="1"/>
                <w:bCs w:val="1"/>
                <w:color w:val="auto"/>
                <w:w w:val="90"/>
              </w:rPr>
              <w:t>Stockholders’</w:t>
            </w:r>
          </w:p>
        </w:tc>
      </w:tr>
      <w:tr>
        <w:trPr>
          <w:trHeight w:val="188"/>
        </w:trPr>
        <w:tc>
          <w:tcPr>
            <w:tcW w:w="3700" w:type="dxa"/>
            <w:vAlign w:val="bottom"/>
          </w:tcPr>
          <w:p>
            <w:pPr>
              <w:spacing w:after="0"/>
              <w:rPr>
                <w:sz w:val="16"/>
                <w:szCs w:val="16"/>
                <w:color w:val="auto"/>
              </w:rPr>
            </w:pPr>
          </w:p>
        </w:tc>
        <w:tc>
          <w:tcPr>
            <w:tcW w:w="1340" w:type="dxa"/>
            <w:vAlign w:val="bottom"/>
            <w:tcBorders>
              <w:top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6"/>
                <w:szCs w:val="16"/>
                <w:color w:val="auto"/>
              </w:rPr>
            </w:pPr>
          </w:p>
        </w:tc>
        <w:tc>
          <w:tcPr>
            <w:tcW w:w="1060" w:type="dxa"/>
            <w:vAlign w:val="bottom"/>
          </w:tcPr>
          <w:p>
            <w:pPr>
              <w:jc w:val="center"/>
              <w:ind w:right="41"/>
              <w:spacing w:after="0"/>
              <w:rPr>
                <w:sz w:val="20"/>
                <w:szCs w:val="20"/>
                <w:color w:val="auto"/>
              </w:rPr>
            </w:pPr>
            <w:r>
              <w:rPr>
                <w:rFonts w:ascii="Arial" w:cs="Arial" w:eastAsia="Arial" w:hAnsi="Arial"/>
                <w:sz w:val="14"/>
                <w:szCs w:val="14"/>
                <w:b w:val="1"/>
                <w:bCs w:val="1"/>
                <w:color w:val="auto"/>
                <w:w w:val="98"/>
              </w:rPr>
              <w:t>Equity</w:t>
            </w:r>
          </w:p>
        </w:tc>
      </w:tr>
      <w:tr>
        <w:trPr>
          <w:trHeight w:val="211"/>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December 31, 2020</w:t>
            </w:r>
          </w:p>
        </w:tc>
        <w:tc>
          <w:tcPr>
            <w:tcW w:w="12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272,154,504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741,113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(26,233)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(376,003)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341,599</w:t>
            </w:r>
          </w:p>
        </w:tc>
      </w:tr>
      <w:tr>
        <w:trPr>
          <w:trHeight w:val="240"/>
        </w:trPr>
        <w:tc>
          <w:tcPr>
            <w:tcW w:w="370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57,006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57,006</w:t>
            </w:r>
          </w:p>
        </w:tc>
      </w:tr>
      <w:tr>
        <w:trPr>
          <w:trHeight w:val="246"/>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comprehensive loss</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(9,161)</w:t>
            </w:r>
          </w:p>
        </w:tc>
      </w:tr>
      <w:tr>
        <w:trPr>
          <w:trHeight w:val="240"/>
        </w:trPr>
        <w:tc>
          <w:tcPr>
            <w:tcW w:w="3700" w:type="dxa"/>
            <w:vAlign w:val="bottom"/>
          </w:tcPr>
          <w:p>
            <w:pPr>
              <w:ind w:left="180"/>
              <w:spacing w:after="0"/>
              <w:rPr>
                <w:sz w:val="20"/>
                <w:szCs w:val="20"/>
                <w:color w:val="auto"/>
              </w:rPr>
            </w:pPr>
            <w:r>
              <w:rPr>
                <w:rFonts w:ascii="Arial" w:cs="Arial" w:eastAsia="Arial" w:hAnsi="Arial"/>
                <w:sz w:val="16"/>
                <w:szCs w:val="16"/>
                <w:color w:val="auto"/>
                <w:w w:val="93"/>
              </w:rPr>
              <w:t>Purchase of capped call options, net of tax of $6,250</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(19,430)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(19,430)</w:t>
            </w:r>
          </w:p>
        </w:tc>
      </w:tr>
      <w:tr>
        <w:trPr>
          <w:trHeight w:val="246"/>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Dividends declared</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(8,219)</w:t>
            </w:r>
          </w:p>
        </w:tc>
      </w:tr>
      <w:tr>
        <w:trPr>
          <w:trHeight w:val="206"/>
        </w:trPr>
        <w:tc>
          <w:tcPr>
            <w:tcW w:w="3700" w:type="dxa"/>
            <w:vAlign w:val="bottom"/>
          </w:tcPr>
          <w:p>
            <w:pPr>
              <w:ind w:left="180"/>
              <w:spacing w:after="0"/>
              <w:rPr>
                <w:sz w:val="20"/>
                <w:szCs w:val="20"/>
                <w:color w:val="auto"/>
              </w:rPr>
            </w:pPr>
            <w:r>
              <w:rPr>
                <w:rFonts w:ascii="Arial" w:cs="Arial" w:eastAsia="Arial" w:hAnsi="Arial"/>
                <w:sz w:val="16"/>
                <w:szCs w:val="16"/>
                <w:color w:val="auto"/>
              </w:rPr>
              <w:t>Shares issued in connection with deferred</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3"/>
        </w:trPr>
        <w:tc>
          <w:tcPr>
            <w:tcW w:w="3700" w:type="dxa"/>
            <w:vAlign w:val="bottom"/>
          </w:tcPr>
          <w:p>
            <w:pPr>
              <w:ind w:left="360"/>
              <w:spacing w:after="0"/>
              <w:rPr>
                <w:sz w:val="20"/>
                <w:szCs w:val="20"/>
                <w:color w:val="auto"/>
              </w:rPr>
            </w:pPr>
            <w:r>
              <w:rPr>
                <w:rFonts w:ascii="Arial" w:cs="Arial" w:eastAsia="Arial" w:hAnsi="Arial"/>
                <w:sz w:val="16"/>
                <w:szCs w:val="16"/>
                <w:color w:val="auto"/>
              </w:rPr>
              <w:t>compensation plan, net</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339,503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(8,862)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(8,859)</w:t>
            </w:r>
          </w:p>
        </w:tc>
      </w:tr>
      <w:tr>
        <w:trPr>
          <w:trHeight w:val="209"/>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compensation plan elective participant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6"/>
        </w:trPr>
        <w:tc>
          <w:tcPr>
            <w:tcW w:w="3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deferrals</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w:t>
            </w:r>
          </w:p>
        </w:tc>
      </w:tr>
      <w:tr>
        <w:trPr>
          <w:trHeight w:val="206"/>
        </w:trPr>
        <w:tc>
          <w:tcPr>
            <w:tcW w:w="3700" w:type="dxa"/>
            <w:vAlign w:val="bottom"/>
          </w:tcPr>
          <w:p>
            <w:pPr>
              <w:ind w:left="180"/>
              <w:spacing w:after="0"/>
              <w:rPr>
                <w:sz w:val="20"/>
                <w:szCs w:val="20"/>
                <w:color w:val="auto"/>
              </w:rPr>
            </w:pPr>
            <w:r>
              <w:rPr>
                <w:rFonts w:ascii="Arial" w:cs="Arial" w:eastAsia="Arial" w:hAnsi="Arial"/>
                <w:sz w:val="16"/>
                <w:szCs w:val="16"/>
                <w:color w:val="auto"/>
                <w:w w:val="98"/>
              </w:rPr>
              <w:t>Shares issued in connection with Executive Bonus</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3"/>
        </w:trPr>
        <w:tc>
          <w:tcPr>
            <w:tcW w:w="3700" w:type="dxa"/>
            <w:vAlign w:val="bottom"/>
          </w:tcPr>
          <w:p>
            <w:pPr>
              <w:ind w:left="360"/>
              <w:spacing w:after="0"/>
              <w:rPr>
                <w:sz w:val="20"/>
                <w:szCs w:val="20"/>
                <w:color w:val="auto"/>
              </w:rPr>
            </w:pPr>
            <w:r>
              <w:rPr>
                <w:rFonts w:ascii="Arial" w:cs="Arial" w:eastAsia="Arial" w:hAnsi="Arial"/>
                <w:sz w:val="16"/>
                <w:szCs w:val="16"/>
                <w:color w:val="auto"/>
              </w:rPr>
              <w:t>Plan, net</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79,961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(2,037)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3,537</w:t>
            </w:r>
          </w:p>
        </w:tc>
      </w:tr>
      <w:tr>
        <w:trPr>
          <w:trHeight w:val="246"/>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 option exercises, net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1,263,121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(5,407)</w:t>
            </w:r>
          </w:p>
        </w:tc>
      </w:tr>
      <w:tr>
        <w:trPr>
          <w:trHeight w:val="240"/>
        </w:trPr>
        <w:tc>
          <w:tcPr>
            <w:tcW w:w="3700" w:type="dxa"/>
            <w:vAlign w:val="bottom"/>
          </w:tcPr>
          <w:p>
            <w:pPr>
              <w:ind w:left="180"/>
              <w:spacing w:after="0"/>
              <w:rPr>
                <w:sz w:val="20"/>
                <w:szCs w:val="20"/>
                <w:color w:val="auto"/>
              </w:rPr>
            </w:pPr>
            <w:r>
              <w:rPr>
                <w:rFonts w:ascii="Arial" w:cs="Arial" w:eastAsia="Arial" w:hAnsi="Arial"/>
                <w:sz w:val="16"/>
                <w:szCs w:val="16"/>
                <w:color w:val="auto"/>
              </w:rPr>
              <w:t>Stock-based compensation expense</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2,786</w:t>
            </w:r>
          </w:p>
        </w:tc>
      </w:tr>
      <w:tr>
        <w:trPr>
          <w:trHeight w:val="243"/>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Shares related to restricted stock, net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(114,606)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w:t>
            </w:r>
          </w:p>
        </w:tc>
      </w:tr>
      <w:tr>
        <w:trPr>
          <w:trHeight w:val="213"/>
        </w:trPr>
        <w:tc>
          <w:tcPr>
            <w:tcW w:w="3700" w:type="dxa"/>
            <w:vAlign w:val="bottom"/>
          </w:tcPr>
          <w:p>
            <w:pPr>
              <w:ind w:left="20"/>
              <w:spacing w:after="0"/>
              <w:rPr>
                <w:sz w:val="20"/>
                <w:szCs w:val="20"/>
                <w:color w:val="auto"/>
              </w:rPr>
            </w:pPr>
            <w:r>
              <w:rPr>
                <w:rFonts w:ascii="Arial" w:cs="Arial" w:eastAsia="Arial" w:hAnsi="Arial"/>
                <w:sz w:val="16"/>
                <w:szCs w:val="16"/>
                <w:color w:val="auto"/>
              </w:rPr>
              <w:t>Balance, March 31, 2021</w:t>
            </w:r>
          </w:p>
        </w:tc>
        <w:tc>
          <w:tcPr>
            <w:tcW w:w="12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273,722,483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2,737</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732,635</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(35,394)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(345,981)</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353,997</w:t>
            </w:r>
          </w:p>
        </w:tc>
      </w:tr>
      <w:tr>
        <w:trPr>
          <w:trHeight w:val="20"/>
        </w:trPr>
        <w:tc>
          <w:tcPr>
            <w:tcW w:w="37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7"/>
          <w:szCs w:val="17"/>
          <w:b w:val="1"/>
          <w:bCs w:val="1"/>
          <w:color w:val="auto"/>
        </w:rPr>
        <w:t>BENTLEY SYSTEMS, INCORPORATED AND SUBSIDIARIES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71" w:lineRule="exact"/>
        <w:rPr>
          <w:sz w:val="20"/>
          <w:szCs w:val="20"/>
          <w:color w:val="auto"/>
        </w:rPr>
      </w:pPr>
    </w:p>
    <w:p>
      <w:pPr>
        <w:jc w:val="center"/>
        <w:ind w:left="8380"/>
        <w:spacing w:after="0"/>
        <w:rPr>
          <w:sz w:val="20"/>
          <w:szCs w:val="20"/>
          <w:color w:val="auto"/>
        </w:rPr>
      </w:pPr>
      <w:r>
        <w:rPr>
          <w:rFonts w:ascii="Arial" w:cs="Arial" w:eastAsia="Arial" w:hAnsi="Arial"/>
          <w:sz w:val="16"/>
          <w:szCs w:val="16"/>
          <w:b w:val="1"/>
          <w:bCs w:val="1"/>
          <w:color w:val="auto"/>
        </w:rPr>
        <w:t>Three Months Ended</w:t>
      </w:r>
    </w:p>
    <w:p>
      <w:pPr>
        <w:spacing w:after="0" w:line="32" w:lineRule="exact"/>
        <w:rPr>
          <w:sz w:val="20"/>
          <w:szCs w:val="20"/>
          <w:color w:val="auto"/>
        </w:rPr>
      </w:pPr>
    </w:p>
    <w:p>
      <w:pPr>
        <w:jc w:val="center"/>
        <w:ind w:left="838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20320</wp:posOffset>
            </wp:positionV>
            <wp:extent cx="18084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39" w:lineRule="exact"/>
        <w:rPr>
          <w:sz w:val="20"/>
          <w:szCs w:val="20"/>
          <w:color w:val="auto"/>
        </w:rPr>
      </w:pPr>
    </w:p>
    <w:p>
      <w:pPr>
        <w:jc w:val="both"/>
        <w:ind w:left="8880"/>
        <w:spacing w:after="0"/>
        <w:tabs>
          <w:tab w:leader="none" w:pos="10420" w:val="left"/>
        </w:tabs>
        <w:rPr>
          <w:sz w:val="20"/>
          <w:szCs w:val="20"/>
          <w:color w:val="auto"/>
        </w:rPr>
      </w:pPr>
      <w:r>
        <w:rPr>
          <w:rFonts w:ascii="Arial" w:cs="Arial" w:eastAsia="Arial" w:hAnsi="Arial"/>
          <w:sz w:val="16"/>
          <w:szCs w:val="16"/>
          <w:b w:val="1"/>
          <w:bCs w:val="1"/>
          <w:color w:val="auto"/>
        </w:rPr>
        <w:t>2022</w:t>
      </w:r>
      <w:r>
        <w:rPr>
          <w:sz w:val="20"/>
          <w:szCs w:val="20"/>
          <w:color w:val="auto"/>
        </w:rPr>
        <w:tab/>
      </w:r>
      <w:r>
        <w:rPr>
          <w:rFonts w:ascii="Arial" w:cs="Arial" w:eastAsia="Arial" w:hAnsi="Arial"/>
          <w:sz w:val="16"/>
          <w:szCs w:val="16"/>
          <w:b w:val="1"/>
          <w:bCs w:val="1"/>
          <w:color w:val="auto"/>
        </w:rPr>
        <w:t>2021</w:t>
      </w:r>
    </w:p>
    <w:p>
      <w:pPr>
        <w:sectPr>
          <w:pgSz w:w="11900" w:h="16838" w:orient="portrait"/>
          <w:cols w:equalWidth="0" w:num="1">
            <w:col w:w="11240"/>
          </w:cols>
          <w:pgMar w:left="320" w:top="1309" w:right="339" w:bottom="312" w:gutter="0" w:footer="0" w:header="0"/>
        </w:sectPr>
      </w:pP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Adjustments to reconcile net income to net cash provided by operating activities:</w:t>
      </w:r>
    </w:p>
    <w:p>
      <w:pPr>
        <w:spacing w:after="0" w:line="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Bad debt allowance</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Stock-based compensation expense</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Deferred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60" w:right="3140"/>
        <w:spacing w:after="0" w:line="313" w:lineRule="auto"/>
        <w:rPr>
          <w:sz w:val="20"/>
          <w:szCs w:val="20"/>
          <w:color w:val="auto"/>
        </w:rPr>
      </w:pPr>
      <w:r>
        <w:rPr>
          <w:rFonts w:ascii="Arial" w:cs="Arial" w:eastAsia="Arial" w:hAnsi="Arial"/>
          <w:sz w:val="18"/>
          <w:szCs w:val="18"/>
          <w:color w:val="auto"/>
        </w:rPr>
        <w:t>Amortization and write-off of deferred debt issuance costs Change in fair value of derivative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Change in fair value of contingent consideration</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 on fair value of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Gain on sale of aircraft</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Foreign currency remeasurement loss (gain)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Loss from investment accounted for using the equity method, net of tax</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Changes in assets and liabilities, net of effect from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Accounts receivable</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Accounts payable, accruals, and other liabilities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Deferred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Income taxes payable, net of prepaid income taxes</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Net cash provided by operating activities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Purchases of property and equipment and investment in capitalized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Proceeds from sale of aircraft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Acquisitions,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investing activities</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cash used in investing activities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Proceeds from credit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Payments of credit facilities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Proceeds from convertible senior notes, net of discounts and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Payments of debt issuance costs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Purchase of capped call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Repayment of term loan</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Payments of financing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Payments of acquisition debt and other consideration</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Payments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Payments for shares acquired including shares withheld for taxes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Proceeds from stock purchases under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Proceeds from exercise of stock options</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56,388</w:t>
            </w:r>
          </w:p>
        </w:tc>
        <w:tc>
          <w:tcPr>
            <w:tcW w:w="26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57,006</w:t>
            </w:r>
          </w:p>
        </w:tc>
      </w:tr>
      <w:tr>
        <w:trPr>
          <w:trHeight w:val="540"/>
        </w:trPr>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17,212</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8,993</w:t>
            </w:r>
          </w:p>
        </w:tc>
      </w:tr>
      <w:tr>
        <w:trPr>
          <w:trHeight w:val="270"/>
        </w:trPr>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955</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746</w:t>
            </w:r>
          </w:p>
        </w:tc>
      </w:tr>
      <w:tr>
        <w:trPr>
          <w:trHeight w:val="270"/>
        </w:trPr>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9,042</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966</w:t>
            </w:r>
          </w:p>
        </w:tc>
      </w:tr>
      <w:tr>
        <w:trPr>
          <w:trHeight w:val="270"/>
        </w:trPr>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15,099</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8,913</w:t>
            </w:r>
          </w:p>
        </w:tc>
      </w:tr>
      <w:tr>
        <w:trPr>
          <w:trHeight w:val="270"/>
        </w:trPr>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(5,138)</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1,021</w:t>
            </w:r>
          </w:p>
        </w:tc>
      </w:tr>
      <w:tr>
        <w:trPr>
          <w:trHeight w:val="270"/>
        </w:trPr>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1,778</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1,229</w:t>
            </w:r>
          </w:p>
        </w:tc>
      </w:tr>
      <w:tr>
        <w:trPr>
          <w:trHeight w:val="270"/>
        </w:trPr>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(12,084)</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(13,661)</w:t>
            </w:r>
          </w:p>
        </w:tc>
      </w:tr>
      <w:tr>
        <w:trPr>
          <w:trHeight w:val="270"/>
        </w:trPr>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(2,029)</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1,677</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(583)</w:t>
            </w:r>
          </w:p>
        </w:tc>
      </w:tr>
      <w:tr>
        <w:trPr>
          <w:trHeight w:val="270"/>
        </w:trPr>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572</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446</w:t>
            </w:r>
          </w:p>
        </w:tc>
      </w:tr>
      <w:tr>
        <w:trPr>
          <w:trHeight w:val="540"/>
        </w:trPr>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8,691</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14,903</w:t>
            </w:r>
          </w:p>
        </w:tc>
      </w:tr>
      <w:tr>
        <w:trPr>
          <w:trHeight w:val="270"/>
        </w:trPr>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5,718</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8,257</w:t>
            </w:r>
          </w:p>
        </w:tc>
      </w:tr>
      <w:tr>
        <w:trPr>
          <w:trHeight w:val="270"/>
        </w:trPr>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26,791</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54,977</w:t>
            </w:r>
          </w:p>
        </w:tc>
      </w:tr>
      <w:tr>
        <w:trPr>
          <w:trHeight w:val="270"/>
        </w:trPr>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(12,515)</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(21,889)</w:t>
            </w:r>
          </w:p>
        </w:tc>
      </w:tr>
      <w:tr>
        <w:trPr>
          <w:trHeight w:val="270"/>
        </w:trPr>
        <w:tc>
          <w:tcPr>
            <w:tcW w:w="3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(10,814)</w:t>
            </w:r>
          </w:p>
        </w:tc>
        <w:tc>
          <w:tcPr>
            <w:tcW w:w="2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11,474</w:t>
            </w:r>
          </w:p>
        </w:tc>
      </w:tr>
      <w:tr>
        <w:trPr>
          <w:trHeight w:val="243"/>
        </w:trPr>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101,731</w:t>
            </w:r>
          </w:p>
        </w:tc>
        <w:tc>
          <w:tcPr>
            <w:tcW w:w="2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132,798</w:t>
            </w:r>
          </w:p>
        </w:tc>
      </w:tr>
      <w:tr>
        <w:trPr>
          <w:trHeight w:val="486"/>
        </w:trPr>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(4,176)</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(2,655)</w:t>
            </w:r>
          </w:p>
        </w:tc>
      </w:tr>
      <w:tr>
        <w:trPr>
          <w:trHeight w:val="270"/>
        </w:trPr>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2,380</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(695,968)</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(57,975)</w:t>
            </w:r>
          </w:p>
        </w:tc>
      </w:tr>
      <w:tr>
        <w:trPr>
          <w:trHeight w:val="270"/>
        </w:trPr>
        <w:tc>
          <w:tcPr>
            <w:tcW w:w="3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(2,811)</w:t>
            </w:r>
          </w:p>
        </w:tc>
        <w:tc>
          <w:tcPr>
            <w:tcW w:w="2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4"/>
        </w:trPr>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(700,575)</w:t>
            </w:r>
          </w:p>
        </w:tc>
        <w:tc>
          <w:tcPr>
            <w:tcW w:w="2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(60,630)</w:t>
            </w:r>
          </w:p>
        </w:tc>
      </w:tr>
      <w:tr>
        <w:trPr>
          <w:trHeight w:val="486"/>
        </w:trPr>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563,912</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16,000</w:t>
            </w:r>
          </w:p>
        </w:tc>
      </w:tr>
      <w:tr>
        <w:trPr>
          <w:trHeight w:val="270"/>
        </w:trPr>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(123,696)</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(262,000)</w:t>
            </w:r>
          </w:p>
        </w:tc>
      </w:tr>
      <w:tr>
        <w:trPr>
          <w:trHeight w:val="270"/>
        </w:trPr>
        <w:tc>
          <w:tcPr>
            <w:tcW w:w="320" w:type="dxa"/>
            <w:vAlign w:val="bottom"/>
          </w:tcPr>
          <w:p>
            <w:pPr>
              <w:spacing w:after="0"/>
              <w:rPr>
                <w:sz w:val="23"/>
                <w:szCs w:val="23"/>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672,750</w:t>
            </w:r>
          </w:p>
        </w:tc>
      </w:tr>
      <w:tr>
        <w:trPr>
          <w:trHeight w:val="270"/>
        </w:trPr>
        <w:tc>
          <w:tcPr>
            <w:tcW w:w="320" w:type="dxa"/>
            <w:vAlign w:val="bottom"/>
          </w:tcPr>
          <w:p>
            <w:pPr>
              <w:spacing w:after="0"/>
              <w:rPr>
                <w:sz w:val="23"/>
                <w:szCs w:val="23"/>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(3,777)</w:t>
            </w:r>
          </w:p>
        </w:tc>
      </w:tr>
      <w:tr>
        <w:trPr>
          <w:trHeight w:val="270"/>
        </w:trPr>
        <w:tc>
          <w:tcPr>
            <w:tcW w:w="320" w:type="dxa"/>
            <w:vAlign w:val="bottom"/>
          </w:tcPr>
          <w:p>
            <w:pPr>
              <w:spacing w:after="0"/>
              <w:rPr>
                <w:sz w:val="23"/>
                <w:szCs w:val="23"/>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(25,530)</w:t>
            </w:r>
          </w:p>
        </w:tc>
      </w:tr>
      <w:tr>
        <w:trPr>
          <w:trHeight w:val="270"/>
        </w:trPr>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(1,250)</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0"/>
        </w:trPr>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(2,721)</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0"/>
        </w:trPr>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(8,528)</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(8,219)</w:t>
            </w:r>
          </w:p>
        </w:tc>
      </w:tr>
      <w:tr>
        <w:trPr>
          <w:trHeight w:val="270"/>
        </w:trPr>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(35,117)</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(18,763)</w:t>
            </w:r>
          </w:p>
        </w:tc>
      </w:tr>
      <w:tr>
        <w:trPr>
          <w:trHeight w:val="270"/>
        </w:trPr>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4,611</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2,768</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1,751</w:t>
            </w:r>
          </w:p>
        </w:tc>
      </w:tr>
    </w:tbl>
    <w:p>
      <w:pPr>
        <w:spacing w:after="0" w:line="1" w:lineRule="exact"/>
        <w:rPr>
          <w:sz w:val="20"/>
          <w:szCs w:val="20"/>
          <w:color w:val="auto"/>
        </w:rPr>
      </w:pPr>
    </w:p>
    <w:p>
      <w:pPr>
        <w:sectPr>
          <w:pgSz w:w="11900" w:h="16838" w:orient="portrait"/>
          <w:cols w:equalWidth="0" w:num="2">
            <w:col w:w="7680" w:space="720"/>
            <w:col w:w="2840"/>
          </w:cols>
          <w:pgMar w:left="320" w:top="1309" w:right="339" w:bottom="312"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8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399,931</w:t>
            </w:r>
          </w:p>
        </w:tc>
        <w:tc>
          <w:tcPr>
            <w:tcW w:w="26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372,137</w:t>
            </w: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2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3,225</w:t>
            </w:r>
          </w:p>
        </w:tc>
      </w:tr>
      <w:tr>
        <w:trPr>
          <w:trHeight w:val="250"/>
        </w:trPr>
        <w:tc>
          <w:tcPr>
            <w:tcW w:w="8400" w:type="dxa"/>
            <w:vAlign w:val="bottom"/>
          </w:tcPr>
          <w:p>
            <w:pPr>
              <w:ind w:left="360"/>
              <w:spacing w:after="0"/>
              <w:rPr>
                <w:sz w:val="20"/>
                <w:szCs w:val="20"/>
                <w:color w:val="auto"/>
              </w:rPr>
            </w:pPr>
            <w:r>
              <w:rPr>
                <w:rFonts w:ascii="Arial" w:cs="Arial" w:eastAsia="Arial" w:hAnsi="Arial"/>
                <w:sz w:val="18"/>
                <w:szCs w:val="18"/>
                <w:color w:val="auto"/>
              </w:rPr>
              <w:t>(Decrease) increase in cash and cash equivalents</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(199,720)</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447,530</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year</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329,337</w:t>
            </w:r>
          </w:p>
        </w:tc>
        <w:tc>
          <w:tcPr>
            <w:tcW w:w="2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122,006</w:t>
            </w:r>
          </w:p>
        </w:tc>
      </w:tr>
      <w:tr>
        <w:trPr>
          <w:trHeight w:val="223"/>
        </w:trPr>
        <w:tc>
          <w:tcPr>
            <w:tcW w:w="8400" w:type="dxa"/>
            <w:vAlign w:val="bottom"/>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129,617</w:t>
            </w:r>
          </w:p>
        </w:tc>
        <w:tc>
          <w:tcPr>
            <w:tcW w:w="26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569,536</w:t>
            </w:r>
          </w:p>
        </w:tc>
      </w:tr>
      <w:tr>
        <w:trPr>
          <w:trHeight w:val="20"/>
        </w:trPr>
        <w:tc>
          <w:tcPr>
            <w:tcW w:w="8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9" w:right="339" w:bottom="312" w:gutter="0" w:footer="0" w:header="0"/>
          <w:type w:val="continuous"/>
        </w:sect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312" w:gutter="0" w:footer="0" w:header="0"/>
          <w:type w:val="continuous"/>
        </w:sectPr>
      </w:pPr>
    </w:p>
    <w:bookmarkStart w:id="7" w:name="page8"/>
    <w:bookmarkEnd w:id="7"/>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BENTLEY SYSTEMS,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4"/>
          </w:tcPr>
          <w:p>
            <w:pPr>
              <w:jc w:val="center"/>
              <w:ind w:right="171"/>
              <w:spacing w:after="0"/>
              <w:rPr>
                <w:sz w:val="20"/>
                <w:szCs w:val="20"/>
                <w:color w:val="auto"/>
              </w:rPr>
            </w:pPr>
            <w:r>
              <w:rPr>
                <w:rFonts w:ascii="Arial" w:cs="Arial" w:eastAsia="Arial" w:hAnsi="Arial"/>
                <w:sz w:val="16"/>
                <w:szCs w:val="16"/>
                <w:b w:val="1"/>
                <w:bCs w:val="1"/>
                <w:color w:val="auto"/>
                <w:w w:val="93"/>
              </w:rPr>
              <w:t>Three Months Ended</w:t>
            </w:r>
          </w:p>
        </w:tc>
      </w:tr>
      <w:tr>
        <w:trPr>
          <w:trHeight w:val="219"/>
        </w:trPr>
        <w:tc>
          <w:tcPr>
            <w:tcW w:w="87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center"/>
              <w:ind w:left="472"/>
              <w:spacing w:after="0"/>
              <w:rPr>
                <w:sz w:val="20"/>
                <w:szCs w:val="20"/>
                <w:color w:val="auto"/>
              </w:rPr>
            </w:pPr>
            <w:r>
              <w:rPr>
                <w:rFonts w:ascii="Arial" w:cs="Arial" w:eastAsia="Arial" w:hAnsi="Arial"/>
                <w:sz w:val="16"/>
                <w:szCs w:val="16"/>
                <w:b w:val="1"/>
                <w:bCs w:val="1"/>
                <w:color w:val="auto"/>
                <w:w w:val="97"/>
              </w:rPr>
              <w:t>March 31,</w:t>
            </w:r>
          </w:p>
        </w:tc>
        <w:tc>
          <w:tcPr>
            <w:tcW w:w="820" w:type="dxa"/>
            <w:vAlign w:val="bottom"/>
            <w:tcBorders>
              <w:bottom w:val="single" w:sz="8" w:color="auto"/>
            </w:tcBorders>
          </w:tcPr>
          <w:p>
            <w:pPr>
              <w:spacing w:after="0"/>
              <w:rPr>
                <w:sz w:val="19"/>
                <w:szCs w:val="19"/>
                <w:color w:val="auto"/>
              </w:rPr>
            </w:pPr>
          </w:p>
        </w:tc>
      </w:tr>
      <w:tr>
        <w:trPr>
          <w:trHeight w:val="233"/>
        </w:trPr>
        <w:tc>
          <w:tcPr>
            <w:tcW w:w="87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2021</w:t>
            </w:r>
          </w:p>
        </w:tc>
      </w:tr>
      <w:tr>
        <w:trPr>
          <w:trHeight w:val="216"/>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information:</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70"/>
        </w:trPr>
        <w:tc>
          <w:tcPr>
            <w:tcW w:w="8720" w:type="dxa"/>
            <w:vAlign w:val="bottom"/>
          </w:tcPr>
          <w:p>
            <w:pPr>
              <w:ind w:left="180"/>
              <w:spacing w:after="0"/>
              <w:rPr>
                <w:sz w:val="20"/>
                <w:szCs w:val="20"/>
                <w:color w:val="auto"/>
              </w:rPr>
            </w:pPr>
            <w:r>
              <w:rPr>
                <w:rFonts w:ascii="Arial" w:cs="Arial" w:eastAsia="Arial" w:hAnsi="Arial"/>
                <w:sz w:val="18"/>
                <w:szCs w:val="18"/>
                <w:color w:val="auto"/>
              </w:rPr>
              <w:t>Cash paid for income taxes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6,766</w:t>
            </w:r>
          </w:p>
        </w:tc>
        <w:tc>
          <w:tcPr>
            <w:tcW w:w="26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4,214</w:t>
            </w:r>
          </w:p>
        </w:tc>
      </w:tr>
      <w:tr>
        <w:trPr>
          <w:trHeight w:val="270"/>
        </w:trPr>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refunds</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2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4,519</w:t>
            </w:r>
          </w:p>
        </w:tc>
      </w:tr>
      <w:tr>
        <w:trPr>
          <w:trHeight w:val="270"/>
        </w:trPr>
        <w:tc>
          <w:tcPr>
            <w:tcW w:w="8720" w:type="dxa"/>
            <w:vAlign w:val="bottom"/>
          </w:tcPr>
          <w:p>
            <w:pPr>
              <w:ind w:left="180"/>
              <w:spacing w:after="0"/>
              <w:rPr>
                <w:sz w:val="20"/>
                <w:szCs w:val="20"/>
                <w:color w:val="auto"/>
              </w:rPr>
            </w:pPr>
            <w:r>
              <w:rPr>
                <w:rFonts w:ascii="Arial" w:cs="Arial" w:eastAsia="Arial" w:hAnsi="Arial"/>
                <w:sz w:val="18"/>
                <w:szCs w:val="18"/>
                <w:color w:val="auto"/>
              </w:rPr>
              <w:t>Interest paid</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5,296</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766</w:t>
            </w: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70"/>
        </w:trPr>
        <w:tc>
          <w:tcPr>
            <w:tcW w:w="8720" w:type="dxa"/>
            <w:vAlign w:val="bottom"/>
          </w:tcPr>
          <w:p>
            <w:pPr>
              <w:ind w:left="180"/>
              <w:spacing w:after="0"/>
              <w:rPr>
                <w:sz w:val="20"/>
                <w:szCs w:val="20"/>
                <w:color w:val="auto"/>
              </w:rPr>
            </w:pPr>
            <w:r>
              <w:rPr>
                <w:rFonts w:ascii="Arial" w:cs="Arial" w:eastAsia="Arial" w:hAnsi="Arial"/>
                <w:sz w:val="18"/>
                <w:szCs w:val="18"/>
                <w:color w:val="auto"/>
              </w:rPr>
              <w:t>Contingent acquisition consideration</w:t>
            </w:r>
          </w:p>
        </w:tc>
        <w:tc>
          <w:tcPr>
            <w:tcW w:w="260" w:type="dxa"/>
            <w:vAlign w:val="bottom"/>
          </w:tcPr>
          <w:p>
            <w:pPr>
              <w:spacing w:after="0"/>
              <w:rPr>
                <w:sz w:val="23"/>
                <w:szCs w:val="23"/>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549</w:t>
            </w:r>
          </w:p>
        </w:tc>
      </w:tr>
      <w:tr>
        <w:trPr>
          <w:trHeight w:val="270"/>
        </w:trPr>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non-contingent consideration, net</w:t>
            </w:r>
          </w:p>
        </w:tc>
        <w:tc>
          <w:tcPr>
            <w:tcW w:w="2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w:t>
            </w:r>
          </w:p>
        </w:tc>
      </w:tr>
      <w:tr>
        <w:trPr>
          <w:trHeight w:val="270"/>
        </w:trPr>
        <w:tc>
          <w:tcPr>
            <w:tcW w:w="8720" w:type="dxa"/>
            <w:vAlign w:val="bottom"/>
          </w:tcPr>
          <w:p>
            <w:pPr>
              <w:ind w:left="180"/>
              <w:spacing w:after="0"/>
              <w:rPr>
                <w:sz w:val="20"/>
                <w:szCs w:val="20"/>
                <w:color w:val="auto"/>
              </w:rPr>
            </w:pPr>
            <w:r>
              <w:rPr>
                <w:rFonts w:ascii="Arial" w:cs="Arial" w:eastAsia="Arial" w:hAnsi="Arial"/>
                <w:sz w:val="18"/>
                <w:szCs w:val="18"/>
                <w:color w:val="auto"/>
              </w:rPr>
              <w:t xml:space="preserve">Convertible senior notes expenses included in </w:t>
            </w:r>
            <w:r>
              <w:rPr>
                <w:rFonts w:ascii="Arial" w:cs="Arial" w:eastAsia="Arial" w:hAnsi="Arial"/>
                <w:sz w:val="18"/>
                <w:szCs w:val="18"/>
                <w:i w:val="1"/>
                <w:iCs w:val="1"/>
                <w:color w:val="auto"/>
              </w:rPr>
              <w:t>Accounts payable</w:t>
            </w:r>
            <w:r>
              <w:rPr>
                <w:rFonts w:ascii="Arial" w:cs="Arial" w:eastAsia="Arial" w:hAnsi="Arial"/>
                <w:sz w:val="18"/>
                <w:szCs w:val="18"/>
                <w:color w:val="auto"/>
              </w:rPr>
              <w:t xml:space="preserve"> and </w:t>
            </w:r>
            <w:r>
              <w:rPr>
                <w:rFonts w:ascii="Arial" w:cs="Arial" w:eastAsia="Arial" w:hAnsi="Arial"/>
                <w:sz w:val="18"/>
                <w:szCs w:val="18"/>
                <w:i w:val="1"/>
                <w:iCs w:val="1"/>
                <w:color w:val="auto"/>
              </w:rPr>
              <w:t>Accruals and other current liabilities</w:t>
            </w:r>
          </w:p>
        </w:tc>
        <w:tc>
          <w:tcPr>
            <w:tcW w:w="260" w:type="dxa"/>
            <w:vAlign w:val="bottom"/>
          </w:tcPr>
          <w:p>
            <w:pPr>
              <w:spacing w:after="0"/>
              <w:rPr>
                <w:sz w:val="23"/>
                <w:szCs w:val="23"/>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605</w:t>
            </w:r>
          </w:p>
        </w:tc>
      </w:tr>
      <w:tr>
        <w:trPr>
          <w:trHeight w:val="270"/>
        </w:trPr>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Capped call options expenses included in </w:t>
            </w:r>
            <w:r>
              <w:rPr>
                <w:rFonts w:ascii="Arial" w:cs="Arial" w:eastAsia="Arial" w:hAnsi="Arial"/>
                <w:sz w:val="18"/>
                <w:szCs w:val="18"/>
                <w:i w:val="1"/>
                <w:iCs w:val="1"/>
                <w:color w:val="auto"/>
              </w:rPr>
              <w:t>Accounts payable</w:t>
            </w:r>
          </w:p>
        </w:tc>
        <w:tc>
          <w:tcPr>
            <w:tcW w:w="2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70"/>
        </w:trPr>
        <w:tc>
          <w:tcPr>
            <w:tcW w:w="8720" w:type="dxa"/>
            <w:vAlign w:val="bottom"/>
          </w:tcPr>
          <w:p>
            <w:pPr>
              <w:ind w:left="180"/>
              <w:spacing w:after="0"/>
              <w:rPr>
                <w:sz w:val="20"/>
                <w:szCs w:val="20"/>
                <w:color w:val="auto"/>
              </w:rPr>
            </w:pPr>
            <w:r>
              <w:rPr>
                <w:rFonts w:ascii="Arial" w:cs="Arial" w:eastAsia="Arial" w:hAnsi="Arial"/>
                <w:sz w:val="18"/>
                <w:szCs w:val="18"/>
                <w:color w:val="auto"/>
              </w:rPr>
              <w:t>Share-settled Executive Bonus Plan awards</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4,996</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5,574</w:t>
            </w:r>
          </w:p>
        </w:tc>
      </w:tr>
      <w:tr>
        <w:trPr>
          <w:trHeight w:val="270"/>
        </w:trPr>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compensation plan elective participant deferrals</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2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w:t>
            </w: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BENTLEY SYSTEMS,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29"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b w:val="1"/>
          <w:bCs w:val="1"/>
          <w:i w:val="1"/>
          <w:iCs w:val="1"/>
          <w:color w:val="auto"/>
        </w:rPr>
        <w:t xml:space="preserve">Basis of Presentation </w:t>
      </w:r>
      <w:r>
        <w:rPr>
          <w:rFonts w:ascii="Arial" w:cs="Arial" w:eastAsia="Arial" w:hAnsi="Arial"/>
          <w:sz w:val="16"/>
          <w:szCs w:val="16"/>
          <w:color w:val="auto"/>
        </w:rPr>
        <w:t>— The accompanying unaudited consolidated financial statements include the accounts of Bentley Systems, Incorporated (“Bentley”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the “Company”) and its wholly-owned subsidiaries, and have been prepared in accordance with accounting principles generally accepted in the United States of America (“U.S. GAAP”) and in accordance with the rules and regulations of the United States Securities and Exchange Commission (“SEC”) regarding interim financial reporting. Accordingly, they do not include all the information and notes required by U.S. GAAP for annual financial statements. These unaudited consolidated financial statements should be read in conjunction with the audited consolidated financial statements and notes thereto included in Part II, Item 8 of the Company’s 2021 Annual Report on Form 10</w:t>
      </w:r>
      <w:r>
        <w:rPr>
          <w:rFonts w:ascii="MS PGothic" w:cs="MS PGothic" w:eastAsia="MS PGothic" w:hAnsi="MS PGothic"/>
          <w:sz w:val="16"/>
          <w:szCs w:val="16"/>
          <w:i w:val="1"/>
          <w:iCs w:val="1"/>
          <w:color w:val="auto"/>
        </w:rPr>
        <w:t>‑</w:t>
      </w:r>
      <w:r>
        <w:rPr>
          <w:rFonts w:ascii="Arial" w:cs="Arial" w:eastAsia="Arial" w:hAnsi="Arial"/>
          <w:sz w:val="16"/>
          <w:szCs w:val="16"/>
          <w:color w:val="auto"/>
        </w:rPr>
        <w:t>K on file with the SEC. In management’s opinion, the accompanying unaudited consolidated financial statements contain all adjustments (consisting of normal, recurring and non-recurring adjustments) that were considered necessary for the fair statement of the Company’s financial position, results of operations, and cash flows at the dates and for the periods indicated. The preparation of financial statements in conformity with U.S. GAAP requires management to make estimates and assumptions that affect reported amounts in the financial statements and accompanying notes. Actual results could differ materially from those estimates. The December 31, 2021 consolidated balance sheet included herein is derived from the Company’s audited consolidated financial statements.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of prior period amounts have been made to conform to the current period presentation.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Business Combinations </w:t>
      </w:r>
      <w:r>
        <w:rPr>
          <w:rFonts w:ascii="Arial" w:cs="Arial" w:eastAsia="Arial" w:hAnsi="Arial"/>
          <w:sz w:val="18"/>
          <w:szCs w:val="18"/>
          <w:color w:val="auto"/>
        </w:rPr>
        <w:t>— On January 31, 2022, the Company completed the acquisition of Power Line Systems, a leader in software for the design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overhead electric power transmission lines and their structures, for $695,968 in cash, net of cash acquired. On June 17, 2021, the Company completed the acquisition of Seequent Holdings Limited (“Seequent”), a leader in software for geological and geophysical modeling, geotechnical stability, and cloud services for geodata management and collaboration, for $883,336 in cash, net of cash acquired, plus 3,141,342 shares of the Company’s Class B Common Stock (see Note 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 Accounting Pronouncements</w:t>
      </w:r>
    </w:p>
    <w:p>
      <w:pPr>
        <w:spacing w:after="0" w:line="229"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In March 2020, the Financial Accounting Standards Board (“FASB”) issued Accounting Standards Update (“ASU”) No. 2020</w:t>
      </w:r>
      <w:r>
        <w:rPr>
          <w:rFonts w:ascii="MS PGothic" w:cs="MS PGothic" w:eastAsia="MS PGothic" w:hAnsi="MS PGothic"/>
          <w:sz w:val="18"/>
          <w:szCs w:val="18"/>
          <w:color w:val="auto"/>
        </w:rPr>
        <w:t>‑</w:t>
      </w:r>
      <w:r>
        <w:rPr>
          <w:rFonts w:ascii="Arial" w:cs="Arial" w:eastAsia="Arial" w:hAnsi="Arial"/>
          <w:sz w:val="18"/>
          <w:szCs w:val="18"/>
          <w:color w:val="auto"/>
        </w:rPr>
        <w:t xml:space="preserve">04, </w:t>
      </w:r>
      <w:r>
        <w:rPr>
          <w:rFonts w:ascii="Arial" w:cs="Arial" w:eastAsia="Arial" w:hAnsi="Arial"/>
          <w:sz w:val="18"/>
          <w:szCs w:val="18"/>
          <w:i w:val="1"/>
          <w:iCs w:val="1"/>
          <w:color w:val="auto"/>
        </w:rPr>
        <w:t>Reference Rate Reform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(Topic 848): Facilitation of the Effects of Reference Rate Reform on Financial Reporting </w:t>
      </w:r>
      <w:r>
        <w:rPr>
          <w:rFonts w:ascii="Arial" w:cs="Arial" w:eastAsia="Arial" w:hAnsi="Arial"/>
          <w:sz w:val="18"/>
          <w:szCs w:val="18"/>
          <w:color w:val="auto"/>
        </w:rPr>
        <w:t>(“ASU 2020</w:t>
      </w:r>
      <w:r>
        <w:rPr>
          <w:rFonts w:ascii="MS PGothic" w:cs="MS PGothic" w:eastAsia="MS PGothic" w:hAnsi="MS PGothic"/>
          <w:sz w:val="18"/>
          <w:szCs w:val="18"/>
          <w:color w:val="auto"/>
        </w:rPr>
        <w:t>‑</w:t>
      </w:r>
      <w:r>
        <w:rPr>
          <w:rFonts w:ascii="Arial" w:cs="Arial" w:eastAsia="Arial" w:hAnsi="Arial"/>
          <w:sz w:val="18"/>
          <w:szCs w:val="18"/>
          <w:color w:val="auto"/>
        </w:rPr>
        <w:t>04”), which provides optional expedients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exceptions for applying U.S. GAAP to contracts, hedging relationships, and other transactions affected by reference rate reform if certain criteria are met. ASU 2020</w:t>
      </w:r>
      <w:r>
        <w:rPr>
          <w:rFonts w:ascii="MS PGothic" w:cs="MS PGothic" w:eastAsia="MS PGothic" w:hAnsi="MS PGothic"/>
          <w:sz w:val="18"/>
          <w:szCs w:val="18"/>
          <w:color w:val="auto"/>
        </w:rPr>
        <w:t>‑</w:t>
      </w:r>
      <w:r>
        <w:rPr>
          <w:rFonts w:ascii="Arial" w:cs="Arial" w:eastAsia="Arial" w:hAnsi="Arial"/>
          <w:sz w:val="18"/>
          <w:szCs w:val="18"/>
          <w:color w:val="auto"/>
        </w:rPr>
        <w:t>04 applies only to contracts, hedging relationships, and other transactions that reference the London Interbank Offered Rate (“LIBOR”) or another reference rate expected to be discontinued because of reference rate reform between March 12, 2020 and December 31, 2022. The expedients and exceptions provided by ASU 2020</w:t>
      </w:r>
      <w:r>
        <w:rPr>
          <w:rFonts w:ascii="MS PGothic" w:cs="MS PGothic" w:eastAsia="MS PGothic" w:hAnsi="MS PGothic"/>
          <w:sz w:val="18"/>
          <w:szCs w:val="18"/>
          <w:color w:val="auto"/>
        </w:rPr>
        <w:t>‑</w:t>
      </w:r>
      <w:r>
        <w:rPr>
          <w:rFonts w:ascii="Arial" w:cs="Arial" w:eastAsia="Arial" w:hAnsi="Arial"/>
          <w:sz w:val="18"/>
          <w:szCs w:val="18"/>
          <w:color w:val="auto"/>
        </w:rPr>
        <w:t>04 do not apply to contract modifications made and hedging relationships entered into or evaluated after December 31, 2022, except for hedging relationships existing as of December 31, 2022, that an entity has elected certain optional expedients for and that are retained through the end of the hedging relationship. The Company had no transactions that were impacted by ASU 2020</w:t>
      </w:r>
      <w:r>
        <w:rPr>
          <w:rFonts w:ascii="MS PGothic" w:cs="MS PGothic" w:eastAsia="MS PGothic" w:hAnsi="MS PGothic"/>
          <w:sz w:val="18"/>
          <w:szCs w:val="18"/>
          <w:color w:val="auto"/>
        </w:rPr>
        <w:t>‑</w:t>
      </w:r>
      <w:r>
        <w:rPr>
          <w:rFonts w:ascii="Arial" w:cs="Arial" w:eastAsia="Arial" w:hAnsi="Arial"/>
          <w:sz w:val="18"/>
          <w:szCs w:val="18"/>
          <w:color w:val="auto"/>
        </w:rPr>
        <w:t>04 during the three months ended 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 w:name="page10"/>
    <w:bookmarkEnd w:id="9"/>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from Contracts with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Products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generates revenues from subscriptions, perpetual licenses, and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Subscriptions</w:t>
      </w:r>
    </w:p>
    <w:p>
      <w:pPr>
        <w:spacing w:after="0" w:line="225"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i w:val="1"/>
          <w:iCs w:val="1"/>
          <w:color w:val="auto"/>
        </w:rPr>
        <w:t xml:space="preserve">SELECT subscriptions </w:t>
      </w:r>
      <w:r>
        <w:rPr>
          <w:rFonts w:ascii="Arial" w:cs="Arial" w:eastAsia="Arial" w:hAnsi="Arial"/>
          <w:sz w:val="16"/>
          <w:szCs w:val="16"/>
          <w:color w:val="auto"/>
        </w:rPr>
        <w:t>— The Company provides prepaid annual recurring subscriptions that accounts (which are based on distinct contractual and billing</w:t>
      </w:r>
      <w:r>
        <w:rPr>
          <w:rFonts w:ascii="Arial" w:cs="Arial" w:eastAsia="Arial" w:hAnsi="Arial"/>
          <w:sz w:val="16"/>
          <w:szCs w:val="16"/>
          <w:i w:val="1"/>
          <w:iCs w:val="1"/>
          <w:color w:val="auto"/>
        </w:rPr>
        <w:t xml:space="preserve"> </w:t>
      </w:r>
      <w:r>
        <w:rPr>
          <w:rFonts w:ascii="Arial" w:cs="Arial" w:eastAsia="Arial" w:hAnsi="Arial"/>
          <w:sz w:val="16"/>
          <w:szCs w:val="16"/>
          <w:color w:val="auto"/>
        </w:rPr>
        <w:t>relationships with the Company, where affiliated entities of a single parent company may each have an independent account with the Company) can elect to add to a new or previously purchased perpetual license. SELECT provides accounts with benefits, including upgrades, comprehensive technical support, pooled licensing benefits, annual portfolio balancing exchange rights, learning benefits, certain Azure</w:t>
      </w:r>
      <w:r>
        <w:rPr>
          <w:rFonts w:ascii="MS PGothic" w:cs="MS PGothic" w:eastAsia="MS PGothic" w:hAnsi="MS PGothic"/>
          <w:sz w:val="16"/>
          <w:szCs w:val="16"/>
          <w:color w:val="auto"/>
        </w:rPr>
        <w:t>‑</w:t>
      </w:r>
      <w:r>
        <w:rPr>
          <w:rFonts w:ascii="Arial" w:cs="Arial" w:eastAsia="Arial" w:hAnsi="Arial"/>
          <w:sz w:val="16"/>
          <w:szCs w:val="16"/>
          <w:color w:val="auto"/>
        </w:rPr>
        <w:t>based cloud collaboration services, mobility advantages, and access to other available benefits. SELECT subscriptions revenues are recognized as distinct performance obligations are satisfied. The performance obligations within the SELECT offering, outside of the portfolio balancing exchange right, are concurrently delivered and have the same pattern of recognition. These performance obligations are accounted for ratably over the term as a single performance obligation.</w:t>
      </w:r>
    </w:p>
    <w:p>
      <w:pPr>
        <w:spacing w:after="0" w:line="204"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i w:val="1"/>
          <w:iCs w:val="1"/>
          <w:color w:val="auto"/>
        </w:rPr>
        <w:t xml:space="preserve">Enterprise subscriptions </w:t>
      </w:r>
      <w:r>
        <w:rPr>
          <w:rFonts w:ascii="Arial" w:cs="Arial" w:eastAsia="Arial" w:hAnsi="Arial"/>
          <w:sz w:val="17"/>
          <w:szCs w:val="17"/>
          <w:color w:val="auto"/>
        </w:rPr>
        <w:t>— The Company also provides Enterprise subscription offerings, which provide its largest accounts with complete and unlimited</w:t>
      </w:r>
      <w:r>
        <w:rPr>
          <w:rFonts w:ascii="Arial" w:cs="Arial" w:eastAsia="Arial" w:hAnsi="Arial"/>
          <w:sz w:val="17"/>
          <w:szCs w:val="17"/>
          <w:i w:val="1"/>
          <w:iCs w:val="1"/>
          <w:color w:val="auto"/>
        </w:rPr>
        <w:t xml:space="preserve"> </w:t>
      </w:r>
      <w:r>
        <w:rPr>
          <w:rFonts w:ascii="Arial" w:cs="Arial" w:eastAsia="Arial" w:hAnsi="Arial"/>
          <w:sz w:val="17"/>
          <w:szCs w:val="17"/>
          <w:color w:val="auto"/>
        </w:rPr>
        <w:t>global access to the Company’s comprehensive portfolio of solutions. Enterprise License Subscriptions (“ELS”) provide access for a prepaid fee, which is based on the account’s usage of software in the preceding year, to effectively create a fee</w:t>
      </w:r>
      <w:r>
        <w:rPr>
          <w:rFonts w:ascii="MS PGothic" w:cs="MS PGothic" w:eastAsia="MS PGothic" w:hAnsi="MS PGothic"/>
          <w:sz w:val="17"/>
          <w:szCs w:val="17"/>
          <w:color w:val="auto"/>
        </w:rPr>
        <w:t>‑</w:t>
      </w:r>
      <w:r>
        <w:rPr>
          <w:rFonts w:ascii="Arial" w:cs="Arial" w:eastAsia="Arial" w:hAnsi="Arial"/>
          <w:sz w:val="17"/>
          <w:szCs w:val="17"/>
          <w:color w:val="auto"/>
        </w:rPr>
        <w:t>certain consumption</w:t>
      </w:r>
      <w:r>
        <w:rPr>
          <w:rFonts w:ascii="MS PGothic" w:cs="MS PGothic" w:eastAsia="MS PGothic" w:hAnsi="MS PGothic"/>
          <w:sz w:val="17"/>
          <w:szCs w:val="17"/>
          <w:color w:val="auto"/>
        </w:rPr>
        <w:t>‑</w:t>
      </w:r>
      <w:r>
        <w:rPr>
          <w:rFonts w:ascii="Arial" w:cs="Arial" w:eastAsia="Arial" w:hAnsi="Arial"/>
          <w:sz w:val="17"/>
          <w:szCs w:val="17"/>
          <w:color w:val="auto"/>
        </w:rPr>
        <w:t xml:space="preserve">based arrangement. ELS contain a term license component, SELECT maintenance and support, and performance consulting days. The SELECT maintenance and support benefits under ELS do not include a portfolio balancing performance obligation. Revenue is allocated to the various performance obligations based on their respective standalone selling price (“SSP”). Revenue allocated to the term license component is recognized upon delivery at the start of the subscription term while revenues for the SELECT maintenance and support and the performance consulting days are recognized as delivered over the subscription term. Billings in advance are recorded as </w:t>
      </w:r>
      <w:r>
        <w:rPr>
          <w:rFonts w:ascii="Arial" w:cs="Arial" w:eastAsia="Arial" w:hAnsi="Arial"/>
          <w:sz w:val="17"/>
          <w:szCs w:val="17"/>
          <w:i w:val="1"/>
          <w:iCs w:val="1"/>
          <w:color w:val="auto"/>
        </w:rPr>
        <w:t>Deferred revenues</w:t>
      </w:r>
      <w:r>
        <w:rPr>
          <w:rFonts w:ascii="Arial" w:cs="Arial" w:eastAsia="Arial" w:hAnsi="Arial"/>
          <w:sz w:val="17"/>
          <w:szCs w:val="17"/>
          <w:color w:val="auto"/>
        </w:rPr>
        <w:t xml:space="preserve"> in the consolidated balance sheets.</w:t>
      </w:r>
    </w:p>
    <w:p>
      <w:pPr>
        <w:spacing w:after="0" w:line="20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Enterprise 365 (“E365”) subscriptions provide unrestricted access to the Company’s comprehensive software portfolio, similar to ELS, however, the accounts are charged based upon daily usage. The daily usage fee also includes a term license component, SELECT maintenance and support, hosting, and Success Blueprints, which are designed to achieve business outcomes through more efficient and effective use of the Company’s software. E365 revenues are recognized based upon usage incurred by the account. Usage is defined as distinct user access on a daily basis. E365 subscriptions can contain quarterly usage floors or collars as accounts transition to the usage model or for accounts within the public sector. The term of E365 subscriptions aligns with calendar quarters and revenue is recognized based on actual usage.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98"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i w:val="1"/>
          <w:iCs w:val="1"/>
          <w:color w:val="auto"/>
        </w:rPr>
        <w:t xml:space="preserve">Term license subscriptions </w:t>
      </w:r>
      <w:r>
        <w:rPr>
          <w:rFonts w:ascii="Arial" w:cs="Arial" w:eastAsia="Arial" w:hAnsi="Arial"/>
          <w:sz w:val="16"/>
          <w:szCs w:val="16"/>
          <w:color w:val="auto"/>
        </w:rPr>
        <w:t>— The Company provides annual, quarterly, and monthly term licenses for its software products. Term license subscriptions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contain a term license component and SELECT maintenance and support. Revenue is allocated to the various performance obligations based on their SSP. Annual term licenses (“ATL”) are generally prepaid annually for named user access to specific products and include the Company’s Virtuoso subscriptions sold via the Company’s Virtuosity eStore for practitioner licenses. Virtuoso subscriptions are bundles with customizable training and expert consultation administered through “keys” or credits. Quarterly term license (“QTL”) subscriptions allow accounts to pay quarterly in arrears for license usage that is beyond their prepaid subscriptions. Monthly term license (“MTL”) subscriptions are identical to QTL subscriptions, except for the term of the license, and the manner in which they are monetized. MTL subscriptions require a Cloud Services Subscription (“CSS”), which is described below. For ATL, revenue allocated to the term license component is recognized upon delivery at the start of the subscription term while revenue for the SELECT maintenance and support is recognized as delivered over the subscription term. For Virtuoso keys, revenue is recognized as services are delivered. Billings in advance are recorded as </w:t>
      </w:r>
      <w:r>
        <w:rPr>
          <w:rFonts w:ascii="Arial" w:cs="Arial" w:eastAsia="Arial" w:hAnsi="Arial"/>
          <w:sz w:val="16"/>
          <w:szCs w:val="16"/>
          <w:i w:val="1"/>
          <w:iCs w:val="1"/>
          <w:color w:val="auto"/>
        </w:rPr>
        <w:t>Deferred revenues</w:t>
      </w:r>
      <w:r>
        <w:rPr>
          <w:rFonts w:ascii="Arial" w:cs="Arial" w:eastAsia="Arial" w:hAnsi="Arial"/>
          <w:sz w:val="16"/>
          <w:szCs w:val="16"/>
          <w:color w:val="auto"/>
        </w:rPr>
        <w:t xml:space="preserve"> in the consolidated balance sheets. For usage</w:t>
      </w:r>
      <w:r>
        <w:rPr>
          <w:rFonts w:ascii="MS PGothic" w:cs="MS PGothic" w:eastAsia="MS PGothic" w:hAnsi="MS PGothic"/>
          <w:sz w:val="16"/>
          <w:szCs w:val="16"/>
          <w:color w:val="auto"/>
        </w:rPr>
        <w:t>‑</w:t>
      </w:r>
      <w:r>
        <w:rPr>
          <w:rFonts w:ascii="Arial" w:cs="Arial" w:eastAsia="Arial" w:hAnsi="Arial"/>
          <w:sz w:val="16"/>
          <w:szCs w:val="16"/>
          <w:color w:val="auto"/>
        </w:rPr>
        <w:t>based QTL and MTL subscriptions, revenues are recognized based upon usage incurred by the account. Usage is defined as peak usage over the respective terms. The terms of QTL and MTL subscriptions align with calendar quarters and calendar months, respectively, and revenue is recognized based on actual usage.</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Visas and Passports are quarterly or annual term licenses enabling users to access specific project or enterprise information and entitles users to certain functionality of the Company’s </w:t>
      </w:r>
      <w:r>
        <w:rPr>
          <w:rFonts w:ascii="Arial" w:cs="Arial" w:eastAsia="Arial" w:hAnsi="Arial"/>
          <w:sz w:val="18"/>
          <w:szCs w:val="18"/>
          <w:i w:val="1"/>
          <w:iCs w:val="1"/>
          <w:color w:val="auto"/>
        </w:rPr>
        <w:t>ProjectWise</w:t>
      </w:r>
      <w:r>
        <w:rPr>
          <w:rFonts w:ascii="Arial" w:cs="Arial" w:eastAsia="Arial" w:hAnsi="Arial"/>
          <w:sz w:val="18"/>
          <w:szCs w:val="18"/>
          <w:color w:val="auto"/>
        </w:rPr>
        <w:t xml:space="preserve"> and </w:t>
      </w:r>
      <w:r>
        <w:rPr>
          <w:rFonts w:ascii="Arial" w:cs="Arial" w:eastAsia="Arial" w:hAnsi="Arial"/>
          <w:sz w:val="18"/>
          <w:szCs w:val="18"/>
          <w:i w:val="1"/>
          <w:iCs w:val="1"/>
          <w:color w:val="auto"/>
        </w:rPr>
        <w:t>AssetWise</w:t>
      </w:r>
      <w:r>
        <w:rPr>
          <w:rFonts w:ascii="Arial" w:cs="Arial" w:eastAsia="Arial" w:hAnsi="Arial"/>
          <w:sz w:val="18"/>
          <w:szCs w:val="18"/>
          <w:color w:val="auto"/>
        </w:rPr>
        <w:t xml:space="preserve"> systems. The Company’s standard offerings are usage based with monetization through the Company’s CSS program as described below.</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CSS is a program designed to streamline the procurement, administration, and payment process. The program requires an estimation of annual usage for CSS eligible offerings and a deposit of funds in advance. Actual consumption is monitored and invoiced against the deposit on a calendar quarter basis. CSS balances not utilized for eligible products or services may roll over to future periods or are refundable. Paid and unconsumed CSS balances are recorded in </w:t>
      </w:r>
      <w:r>
        <w:rPr>
          <w:rFonts w:ascii="Arial" w:cs="Arial" w:eastAsia="Arial" w:hAnsi="Arial"/>
          <w:sz w:val="18"/>
          <w:szCs w:val="18"/>
          <w:i w:val="1"/>
          <w:iCs w:val="1"/>
          <w:color w:val="auto"/>
        </w:rPr>
        <w:t>Accruals and other current liabilities</w:t>
      </w:r>
      <w:r>
        <w:rPr>
          <w:rFonts w:ascii="Arial" w:cs="Arial" w:eastAsia="Arial" w:hAnsi="Arial"/>
          <w:sz w:val="18"/>
          <w:szCs w:val="18"/>
          <w:color w:val="auto"/>
        </w:rPr>
        <w:t xml:space="preserve"> in the consolidated balance sheets. Software and services consumed under CSS are recognized pursuant to the applicable revenue recognition guidance for the respective software or service and classified as subscriptions or services based on their respective nature.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Perpetual licenses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Perpetual licenses may be sold with or without attaching a SELECT subscription. Historically, attachment and retention of the SELECT subscription has been high given the benefits of the SELECT subscription discussed above. Perpetual licenses revenues are recognized upon delivery of the license to the user.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w:t>
      </w:r>
    </w:p>
    <w:p>
      <w:pPr>
        <w:spacing w:after="0" w:line="225"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The Company provides professional services, including training, implementation, configuration, customization, and strategic consulting services. The Company performs projects on both a time and materials and a fixed fee basis. Certain of the Company’s fixed</w:t>
      </w:r>
      <w:r>
        <w:rPr>
          <w:rFonts w:ascii="MS PGothic" w:cs="MS PGothic" w:eastAsia="MS PGothic" w:hAnsi="MS PGothic"/>
          <w:sz w:val="18"/>
          <w:szCs w:val="18"/>
          <w:color w:val="auto"/>
        </w:rPr>
        <w:t>‑</w:t>
      </w:r>
      <w:r>
        <w:rPr>
          <w:rFonts w:ascii="Arial" w:cs="Arial" w:eastAsia="Arial" w:hAnsi="Arial"/>
          <w:sz w:val="18"/>
          <w:szCs w:val="18"/>
          <w:color w:val="auto"/>
        </w:rPr>
        <w:t>fee arrangements, including its Success Services offerings, are structured as subscription</w:t>
      </w:r>
      <w:r>
        <w:rPr>
          <w:rFonts w:ascii="MS PGothic" w:cs="MS PGothic" w:eastAsia="MS PGothic" w:hAnsi="MS PGothic"/>
          <w:sz w:val="18"/>
          <w:szCs w:val="18"/>
          <w:color w:val="auto"/>
        </w:rPr>
        <w:t>‑</w:t>
      </w:r>
      <w:r>
        <w:rPr>
          <w:rFonts w:ascii="Arial" w:cs="Arial" w:eastAsia="Arial" w:hAnsi="Arial"/>
          <w:sz w:val="18"/>
          <w:szCs w:val="18"/>
          <w:color w:val="auto"/>
        </w:rPr>
        <w:t>like, packaged offerings that are annually recurring in nature. Success Services are standard service offerings that provide a level of dedicated professional services above the standard technical support offered to all accounts as part of their SELECT or Enterprise agreement. Revenues are recognized as services are performed.</w:t>
      </w:r>
    </w:p>
    <w:p>
      <w:pPr>
        <w:spacing w:after="0" w:line="205"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The Company primarily utilizes its direct internal sales force and also has arrangements through independent channel partners to promote and sell Bentley products and subscriptions to end</w:t>
      </w:r>
      <w:r>
        <w:rPr>
          <w:rFonts w:ascii="MS PGothic" w:cs="MS PGothic" w:eastAsia="MS PGothic" w:hAnsi="MS PGothic"/>
          <w:sz w:val="18"/>
          <w:szCs w:val="18"/>
          <w:color w:val="auto"/>
        </w:rPr>
        <w:t>‑</w:t>
      </w:r>
      <w:r>
        <w:rPr>
          <w:rFonts w:ascii="Arial" w:cs="Arial" w:eastAsia="Arial" w:hAnsi="Arial"/>
          <w:sz w:val="18"/>
          <w:szCs w:val="18"/>
          <w:color w:val="auto"/>
        </w:rPr>
        <w:t>users. Channel partners are authorized to promote the sale of an authorized set of Bentley products and subscriptions within an authorized geography under a Channel Partner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Judgments and Estimates</w:t>
      </w:r>
    </w:p>
    <w:p>
      <w:pPr>
        <w:spacing w:after="0" w:line="229"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The Company’s contracts with customers may include promises to transfer licenses (perpetual or term</w:t>
      </w:r>
      <w:r>
        <w:rPr>
          <w:rFonts w:ascii="MS PGothic" w:cs="MS PGothic" w:eastAsia="MS PGothic" w:hAnsi="MS PGothic"/>
          <w:sz w:val="16"/>
          <w:szCs w:val="16"/>
          <w:color w:val="auto"/>
        </w:rPr>
        <w:t>‑</w:t>
      </w:r>
      <w:r>
        <w:rPr>
          <w:rFonts w:ascii="Arial" w:cs="Arial" w:eastAsia="Arial" w:hAnsi="Arial"/>
          <w:sz w:val="16"/>
          <w:szCs w:val="16"/>
          <w:color w:val="auto"/>
        </w:rPr>
        <w:t>based), maintenance, and services to a user. Judgment is required to determine if the promises are separate performance obligations, and if so, the allocation of the transaction price to each performance obligation. When an arrangement includes multiple performance obligations which are concurrently delivered and have the same pattern of transfer to the customer, the Company accounts for those performance obligations as a single performance obligation. For contracts with more than one performance obligation, the transaction price is allocated among the performance obligations in an amount that depicts the relative SSP of each obligation. Judgment is required to determine the SSP for each distinct performance obligation. In instances where SSP is not directly observable, such as when the Company does not sell the product or service separately, the Company determines the SSP using information that may include market conditions and other observable inputs. The Company uses a range of amounts to estimate SSP when it sells each of the products and services separately and needs to determine whether there is a discount that should be allocated based on the relative SSP of the various products and services.</w:t>
      </w:r>
    </w:p>
    <w:p>
      <w:pPr>
        <w:spacing w:after="0" w:line="20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The Company’s SELECT agreement provides users with perpetual licenses a right to exchange software for other eligible perpetual licenses on an annual basis upon renewal. The Company refers to this option as portfolio balancing and has concluded that the portfolio balancing feature represents a material right resulting in the deferral of the associated revenue. Judgment is required to estimate the percentage of users who may elect to portfolio balance and considers inputs such as historical user elections. This feature is available once per term and must be exercised prior to the respective renewal term. The Company recognizes the associated revenue upon election or when the portfolio balancing right expires. This right is included in the initial and subsequent renewal terms and the Company reestablishes the revenue deferral for the material right upon the beginning of the renewal term. As of March 31, 2022 and December 31, 2021, the Company has deferred $17,724 and $18,020, respectively, related to portfolio balancing exchange rights which is included in </w:t>
      </w:r>
      <w:r>
        <w:rPr>
          <w:rFonts w:ascii="Arial" w:cs="Arial" w:eastAsia="Arial" w:hAnsi="Arial"/>
          <w:sz w:val="17"/>
          <w:szCs w:val="17"/>
          <w:i w:val="1"/>
          <w:iCs w:val="1"/>
          <w:color w:val="auto"/>
        </w:rPr>
        <w:t xml:space="preserve">Deferred revenues </w:t>
      </w:r>
      <w:r>
        <w:rPr>
          <w:rFonts w:ascii="Arial" w:cs="Arial" w:eastAsia="Arial" w:hAnsi="Arial"/>
          <w:sz w:val="17"/>
          <w:szCs w:val="17"/>
          <w:color w:val="auto"/>
        </w:rPr>
        <w:t>in the consolidated balance sheets.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Assets and Contract Liabilities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31, 2022</w:t>
            </w:r>
          </w:p>
        </w:tc>
        <w:tc>
          <w:tcPr>
            <w:tcW w:w="200" w:type="dxa"/>
            <w:vAlign w:val="bottom"/>
          </w:tcPr>
          <w:p>
            <w:pPr>
              <w:spacing w:after="0"/>
              <w:rPr>
                <w:sz w:val="18"/>
                <w:szCs w:val="18"/>
                <w:color w:val="auto"/>
              </w:rPr>
            </w:pPr>
          </w:p>
        </w:tc>
        <w:tc>
          <w:tcPr>
            <w:tcW w:w="1740" w:type="dxa"/>
            <w:vAlign w:val="bottom"/>
          </w:tcPr>
          <w:p>
            <w:pPr>
              <w:jc w:val="right"/>
              <w:ind w:right="233"/>
              <w:spacing w:after="0"/>
              <w:rPr>
                <w:sz w:val="20"/>
                <w:szCs w:val="20"/>
                <w:color w:val="auto"/>
              </w:rPr>
            </w:pPr>
            <w:r>
              <w:rPr>
                <w:rFonts w:ascii="Arial" w:cs="Arial" w:eastAsia="Arial" w:hAnsi="Arial"/>
                <w:sz w:val="16"/>
                <w:szCs w:val="16"/>
                <w:b w:val="1"/>
                <w:bCs w:val="1"/>
                <w:color w:val="auto"/>
                <w:w w:val="97"/>
              </w:rPr>
              <w:t>December 31, 2021</w:t>
            </w:r>
          </w:p>
        </w:tc>
      </w:tr>
      <w:tr>
        <w:trPr>
          <w:trHeight w:val="226"/>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2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Deferred revenues</w:t>
            </w:r>
          </w:p>
        </w:tc>
        <w:tc>
          <w:tcPr>
            <w:tcW w:w="2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228,454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232,593</w:t>
            </w:r>
          </w:p>
        </w:tc>
      </w:tr>
    </w:tbl>
    <w:p>
      <w:pPr>
        <w:spacing w:after="0" w:line="2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As of March 31, 2022 and December 31, 2021, the Company’s contract assets relate to performance obligations completed in advance of the right to invoice and are included in </w:t>
      </w:r>
      <w:r>
        <w:rPr>
          <w:rFonts w:ascii="Arial" w:cs="Arial" w:eastAsia="Arial" w:hAnsi="Arial"/>
          <w:sz w:val="18"/>
          <w:szCs w:val="18"/>
          <w:i w:val="1"/>
          <w:iCs w:val="1"/>
          <w:color w:val="auto"/>
        </w:rPr>
        <w:t>Prepaid and other current assets</w:t>
      </w:r>
      <w:r>
        <w:rPr>
          <w:rFonts w:ascii="Arial" w:cs="Arial" w:eastAsia="Arial" w:hAnsi="Arial"/>
          <w:sz w:val="18"/>
          <w:szCs w:val="18"/>
          <w:color w:val="auto"/>
        </w:rPr>
        <w:t xml:space="preserve"> in the consolidated balance sheets. Contract assets were not impaired as of March 31, 2022 and December 31, 2021.</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Deferred revenues consist of billings made or payments received in advance of revenue recognition from subscriptions and services. The timing of revenue recognition may differ from the timing of billings to users.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March 31, 2022, $97,005 of revenues that were included in the December 31, 2021 deferred revenues balance were recognized. There were additional deferrals of $94,522, which were primarily related to new billings and acquisitions (see Note 4). For the three months ended March 31, 2021, $91,125 of revenues that were included in the December 31, 2020 deferred revenues balance were recognized. There were additional deferrals of $78,210, which were primarily related to new billings.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Remaining Performance Obligations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contracts with customers include amounts allocated to performance obligations that will be satisfied at a later date. As of March 31, 2022, amounts allocated to these remaining performance obligations are $228,454, of which the Company expects to recognize 94.3% over the next 12 months with the remaining amount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revenues: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960" w:type="dxa"/>
            <w:vAlign w:val="bottom"/>
          </w:tcPr>
          <w:p>
            <w:pPr>
              <w:spacing w:after="0"/>
              <w:rPr>
                <w:sz w:val="18"/>
                <w:szCs w:val="18"/>
                <w:color w:val="auto"/>
              </w:rPr>
            </w:pPr>
          </w:p>
        </w:tc>
      </w:tr>
      <w:tr>
        <w:trPr>
          <w:trHeight w:val="219"/>
        </w:trPr>
        <w:tc>
          <w:tcPr>
            <w:tcW w:w="300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6"/>
                <w:szCs w:val="16"/>
                <w:b w:val="1"/>
                <w:bCs w:val="1"/>
                <w:color w:val="auto"/>
              </w:rPr>
              <w:t>March 31,</w:t>
            </w:r>
          </w:p>
        </w:tc>
        <w:tc>
          <w:tcPr>
            <w:tcW w:w="960" w:type="dxa"/>
            <w:vAlign w:val="bottom"/>
            <w:tcBorders>
              <w:bottom w:val="single" w:sz="8" w:color="auto"/>
            </w:tcBorders>
          </w:tcPr>
          <w:p>
            <w:pPr>
              <w:spacing w:after="0"/>
              <w:rPr>
                <w:sz w:val="19"/>
                <w:szCs w:val="19"/>
                <w:color w:val="auto"/>
              </w:rPr>
            </w:pPr>
          </w:p>
        </w:tc>
      </w:tr>
      <w:tr>
        <w:trPr>
          <w:trHeight w:val="210"/>
        </w:trPr>
        <w:tc>
          <w:tcPr>
            <w:tcW w:w="3000" w:type="dxa"/>
            <w:vAlign w:val="bottom"/>
            <w:tcBorders>
              <w:bottom w:val="single" w:sz="8" w:color="CCEEFF"/>
            </w:tcBorders>
          </w:tcPr>
          <w:p>
            <w:pPr>
              <w:spacing w:after="0"/>
              <w:rPr>
                <w:sz w:val="18"/>
                <w:szCs w:val="18"/>
                <w:color w:val="auto"/>
              </w:rPr>
            </w:pPr>
          </w:p>
        </w:tc>
        <w:tc>
          <w:tcPr>
            <w:tcW w:w="48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w w:val="89"/>
              </w:rPr>
              <w:t>2021</w:t>
            </w:r>
          </w:p>
        </w:tc>
      </w:tr>
      <w:tr>
        <w:trPr>
          <w:trHeight w:val="212"/>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Subscriptions: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70"/>
        </w:trPr>
        <w:tc>
          <w:tcPr>
            <w:tcW w:w="7860" w:type="dxa"/>
            <w:vAlign w:val="bottom"/>
            <w:gridSpan w:val="2"/>
          </w:tcPr>
          <w:p>
            <w:pPr>
              <w:ind w:left="180"/>
              <w:spacing w:after="0"/>
              <w:rPr>
                <w:sz w:val="20"/>
                <w:szCs w:val="20"/>
                <w:color w:val="auto"/>
              </w:rPr>
            </w:pPr>
            <w:r>
              <w:rPr>
                <w:rFonts w:ascii="Arial" w:cs="Arial" w:eastAsia="Arial" w:hAnsi="Arial"/>
                <w:sz w:val="18"/>
                <w:szCs w:val="18"/>
                <w:color w:val="auto"/>
              </w:rPr>
              <w:t>SELECT subscriptions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66,598</w:t>
            </w:r>
          </w:p>
        </w:tc>
        <w:tc>
          <w:tcPr>
            <w:tcW w:w="260" w:type="dxa"/>
            <w:vAlign w:val="bottom"/>
          </w:tcPr>
          <w:p>
            <w:pPr>
              <w:spacing w:after="0"/>
              <w:rPr>
                <w:sz w:val="23"/>
                <w:szCs w:val="23"/>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66,140</w:t>
            </w:r>
          </w:p>
        </w:tc>
      </w:tr>
      <w:tr>
        <w:trPr>
          <w:trHeight w:val="270"/>
        </w:trPr>
        <w:tc>
          <w:tcPr>
            <w:tcW w:w="7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Enterprise subscriptions </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81,827</w:t>
            </w:r>
          </w:p>
        </w:tc>
        <w:tc>
          <w:tcPr>
            <w:tcW w:w="2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71,015</w:t>
            </w:r>
          </w:p>
        </w:tc>
      </w:tr>
      <w:tr>
        <w:trPr>
          <w:trHeight w:val="270"/>
        </w:trPr>
        <w:tc>
          <w:tcPr>
            <w:tcW w:w="78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Term license subscriptions</w:t>
            </w: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92,808</w:t>
            </w:r>
          </w:p>
        </w:tc>
        <w:tc>
          <w:tcPr>
            <w:tcW w:w="260" w:type="dxa"/>
            <w:vAlign w:val="bottom"/>
            <w:tcBorders>
              <w:bottom w:val="single" w:sz="8" w:color="CCEEFF"/>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50,970</w:t>
            </w:r>
          </w:p>
        </w:tc>
      </w:tr>
      <w:tr>
        <w:trPr>
          <w:trHeight w:val="250"/>
        </w:trPr>
        <w:tc>
          <w:tcPr>
            <w:tcW w:w="7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Subscriptions</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241,233</w:t>
            </w: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188,125</w:t>
            </w:r>
          </w:p>
        </w:tc>
      </w:tr>
      <w:tr>
        <w:trPr>
          <w:trHeight w:val="270"/>
        </w:trPr>
        <w:tc>
          <w:tcPr>
            <w:tcW w:w="78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Perpetual licenses</w:t>
            </w: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10,205</w:t>
            </w:r>
          </w:p>
        </w:tc>
        <w:tc>
          <w:tcPr>
            <w:tcW w:w="260" w:type="dxa"/>
            <w:vAlign w:val="bottom"/>
            <w:tcBorders>
              <w:bottom w:val="single" w:sz="8" w:color="CCEEFF"/>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10,116</w:t>
            </w:r>
          </w:p>
        </w:tc>
      </w:tr>
      <w:tr>
        <w:trPr>
          <w:trHeight w:val="250"/>
        </w:trPr>
        <w:tc>
          <w:tcPr>
            <w:tcW w:w="7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Subscriptions and licenses</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251,438</w:t>
            </w: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198,241</w:t>
            </w:r>
          </w:p>
        </w:tc>
      </w:tr>
      <w:tr>
        <w:trPr>
          <w:trHeight w:val="229"/>
        </w:trPr>
        <w:tc>
          <w:tcPr>
            <w:tcW w:w="7860" w:type="dxa"/>
            <w:vAlign w:val="bottom"/>
            <w:gridSpan w:val="2"/>
          </w:tcPr>
          <w:p>
            <w:pPr>
              <w:ind w:left="20"/>
              <w:spacing w:after="0"/>
              <w:rPr>
                <w:sz w:val="20"/>
                <w:szCs w:val="20"/>
                <w:color w:val="auto"/>
              </w:rPr>
            </w:pPr>
            <w:r>
              <w:rPr>
                <w:rFonts w:ascii="Arial" w:cs="Arial" w:eastAsia="Arial" w:hAnsi="Arial"/>
                <w:sz w:val="18"/>
                <w:szCs w:val="18"/>
                <w:color w:val="auto"/>
              </w:rPr>
              <w:t>Services: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70"/>
        </w:trPr>
        <w:tc>
          <w:tcPr>
            <w:tcW w:w="7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Recurring</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4,701</w:t>
            </w:r>
          </w:p>
        </w:tc>
        <w:tc>
          <w:tcPr>
            <w:tcW w:w="2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6,077</w:t>
            </w:r>
          </w:p>
        </w:tc>
      </w:tr>
      <w:tr>
        <w:trPr>
          <w:trHeight w:val="270"/>
        </w:trPr>
        <w:tc>
          <w:tcPr>
            <w:tcW w:w="78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19,378</w:t>
            </w:r>
          </w:p>
        </w:tc>
        <w:tc>
          <w:tcPr>
            <w:tcW w:w="260" w:type="dxa"/>
            <w:vAlign w:val="bottom"/>
            <w:tcBorders>
              <w:bottom w:val="single" w:sz="8" w:color="CCEEFF"/>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17,687</w:t>
            </w:r>
          </w:p>
        </w:tc>
      </w:tr>
      <w:tr>
        <w:trPr>
          <w:trHeight w:val="250"/>
        </w:trPr>
        <w:tc>
          <w:tcPr>
            <w:tcW w:w="7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Services</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24,079</w:t>
            </w:r>
          </w:p>
        </w:tc>
        <w:tc>
          <w:tcPr>
            <w:tcW w:w="26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23,764</w:t>
            </w:r>
          </w:p>
        </w:tc>
      </w:tr>
      <w:tr>
        <w:trPr>
          <w:trHeight w:val="223"/>
        </w:trPr>
        <w:tc>
          <w:tcPr>
            <w:tcW w:w="7860" w:type="dxa"/>
            <w:vAlign w:val="bottom"/>
            <w:gridSpan w:val="2"/>
          </w:tcPr>
          <w:p>
            <w:pPr>
              <w:ind w:left="2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275,517</w:t>
            </w:r>
          </w:p>
        </w:tc>
        <w:tc>
          <w:tcPr>
            <w:tcW w:w="26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222,005</w:t>
            </w:r>
          </w:p>
        </w:tc>
      </w:tr>
      <w:tr>
        <w:trPr>
          <w:trHeight w:val="20"/>
        </w:trPr>
        <w:tc>
          <w:tcPr>
            <w:tcW w:w="30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0"/>
        </w:trPr>
        <w:tc>
          <w:tcPr>
            <w:tcW w:w="3000" w:type="dxa"/>
            <w:vAlign w:val="bottom"/>
            <w:tcBorders>
              <w:bottom w:val="single" w:sz="8" w:color="auto"/>
            </w:tcBorders>
          </w:tcPr>
          <w:p>
            <w:pPr>
              <w:spacing w:after="0"/>
              <w:rPr>
                <w:sz w:val="18"/>
                <w:szCs w:val="18"/>
                <w:color w:val="auto"/>
              </w:rPr>
            </w:pPr>
          </w:p>
        </w:tc>
        <w:tc>
          <w:tcPr>
            <w:tcW w:w="4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r>
    </w:tbl>
    <w:p>
      <w:pPr>
        <w:spacing w:after="0" w:line="121" w:lineRule="exact"/>
        <w:rPr>
          <w:sz w:val="20"/>
          <w:szCs w:val="20"/>
          <w:color w:val="auto"/>
        </w:rPr>
      </w:pPr>
    </w:p>
    <w:p>
      <w:pPr>
        <w:ind w:left="340" w:hanging="332"/>
        <w:spacing w:after="0" w:line="277" w:lineRule="auto"/>
        <w:tabs>
          <w:tab w:leader="none" w:pos="334" w:val="left"/>
        </w:tabs>
        <w:numPr>
          <w:ilvl w:val="0"/>
          <w:numId w:val="3"/>
        </w:numPr>
        <w:rPr>
          <w:rFonts w:ascii="Arial" w:cs="Arial" w:eastAsia="Arial" w:hAnsi="Arial"/>
          <w:sz w:val="18"/>
          <w:szCs w:val="18"/>
          <w:color w:val="auto"/>
        </w:rPr>
      </w:pPr>
      <w:r>
        <w:rPr>
          <w:rFonts w:ascii="Arial" w:cs="Arial" w:eastAsia="Arial" w:hAnsi="Arial"/>
          <w:sz w:val="18"/>
          <w:szCs w:val="18"/>
          <w:color w:val="auto"/>
        </w:rPr>
        <w:t>Enterprise subscriptions includes revenue attributable to E365 subscriptions of $68,598 and $48,265 for the three months ended March 31, 2022 and 2021, respectively.</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Company recognizes perpetual licenses and the term license component of subscriptions as revenue when either the licenses are delivered or at the start of the subscription term. For the three months ended March 31, 2022 and 2021, the Company recognized $125,225 and $95,625 of license related revenues, respectively, of which $115,020 and $85,509, respectively, were attributable to the term license component of the Company’s subscription based commercial offerings recorded in </w:t>
      </w:r>
      <w:r>
        <w:rPr>
          <w:rFonts w:ascii="Arial" w:cs="Arial" w:eastAsia="Arial" w:hAnsi="Arial"/>
          <w:sz w:val="17"/>
          <w:szCs w:val="17"/>
          <w:i w:val="1"/>
          <w:iCs w:val="1"/>
          <w:color w:val="auto"/>
        </w:rPr>
        <w:t>Subscriptions</w:t>
      </w:r>
      <w:r>
        <w:rPr>
          <w:rFonts w:ascii="Arial" w:cs="Arial" w:eastAsia="Arial" w:hAnsi="Arial"/>
          <w:sz w:val="17"/>
          <w:szCs w:val="17"/>
          <w:color w:val="auto"/>
        </w:rPr>
        <w:t xml:space="preserve"> in the consolidated statements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Company derived 7% and 8% of its total revenues through channel partners for the three months ended March 31, 2022 and 2021,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Revenue to external customers is attributed to individual countries based upon the location of the customer.</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960" w:type="dxa"/>
            <w:vAlign w:val="bottom"/>
          </w:tcPr>
          <w:p>
            <w:pPr>
              <w:spacing w:after="0"/>
              <w:rPr>
                <w:sz w:val="18"/>
                <w:szCs w:val="18"/>
                <w:color w:val="auto"/>
              </w:rPr>
            </w:pPr>
          </w:p>
        </w:tc>
      </w:tr>
      <w:tr>
        <w:trPr>
          <w:trHeight w:val="219"/>
        </w:trPr>
        <w:tc>
          <w:tcPr>
            <w:tcW w:w="300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6"/>
                <w:szCs w:val="16"/>
                <w:b w:val="1"/>
                <w:bCs w:val="1"/>
                <w:color w:val="auto"/>
              </w:rPr>
              <w:t>March 31,</w:t>
            </w:r>
          </w:p>
        </w:tc>
        <w:tc>
          <w:tcPr>
            <w:tcW w:w="960" w:type="dxa"/>
            <w:vAlign w:val="bottom"/>
            <w:tcBorders>
              <w:bottom w:val="single" w:sz="8" w:color="auto"/>
            </w:tcBorders>
          </w:tcPr>
          <w:p>
            <w:pPr>
              <w:spacing w:after="0"/>
              <w:rPr>
                <w:sz w:val="19"/>
                <w:szCs w:val="19"/>
                <w:color w:val="auto"/>
              </w:rPr>
            </w:pPr>
          </w:p>
        </w:tc>
      </w:tr>
      <w:tr>
        <w:trPr>
          <w:trHeight w:val="210"/>
        </w:trPr>
        <w:tc>
          <w:tcPr>
            <w:tcW w:w="3000" w:type="dxa"/>
            <w:vAlign w:val="bottom"/>
            <w:tcBorders>
              <w:bottom w:val="single" w:sz="8" w:color="CCEEFF"/>
            </w:tcBorders>
          </w:tcPr>
          <w:p>
            <w:pPr>
              <w:spacing w:after="0"/>
              <w:rPr>
                <w:sz w:val="18"/>
                <w:szCs w:val="18"/>
                <w:color w:val="auto"/>
              </w:rPr>
            </w:pPr>
          </w:p>
        </w:tc>
        <w:tc>
          <w:tcPr>
            <w:tcW w:w="48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w w:val="89"/>
              </w:rPr>
              <w:t>2021</w:t>
            </w:r>
          </w:p>
        </w:tc>
      </w:tr>
      <w:tr>
        <w:trPr>
          <w:trHeight w:val="226"/>
        </w:trPr>
        <w:tc>
          <w:tcPr>
            <w:tcW w:w="786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Americas </w:t>
            </w:r>
            <w:r>
              <w:rPr>
                <w:rFonts w:ascii="Arial" w:cs="Arial" w:eastAsia="Arial" w:hAnsi="Arial"/>
                <w:sz w:val="23"/>
                <w:szCs w:val="23"/>
                <w:color w:val="auto"/>
                <w:vertAlign w:val="superscript"/>
              </w:rPr>
              <w:t>(1)</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154,260</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108,862</w:t>
            </w:r>
          </w:p>
        </w:tc>
      </w:tr>
      <w:tr>
        <w:trPr>
          <w:trHeight w:val="230"/>
        </w:trPr>
        <w:tc>
          <w:tcPr>
            <w:tcW w:w="78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Europe, the Middle East, and Africa (“EMEA”) </w:t>
            </w:r>
            <w:r>
              <w:rPr>
                <w:rFonts w:ascii="Arial" w:cs="Arial" w:eastAsia="Arial" w:hAnsi="Arial"/>
                <w:sz w:val="23"/>
                <w:szCs w:val="23"/>
                <w:color w:val="auto"/>
                <w:vertAlign w:val="superscript"/>
              </w:rPr>
              <w:t>(2)</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77,480</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73,848</w:t>
            </w:r>
          </w:p>
        </w:tc>
      </w:tr>
      <w:tr>
        <w:trPr>
          <w:trHeight w:val="230"/>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Asia-Pacific (“APAC”)</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43,777</w:t>
            </w:r>
          </w:p>
        </w:tc>
        <w:tc>
          <w:tcPr>
            <w:tcW w:w="26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39,295</w:t>
            </w:r>
          </w:p>
        </w:tc>
      </w:tr>
      <w:tr>
        <w:trPr>
          <w:trHeight w:val="223"/>
        </w:trPr>
        <w:tc>
          <w:tcPr>
            <w:tcW w:w="7860" w:type="dxa"/>
            <w:vAlign w:val="bottom"/>
            <w:gridSpan w:val="2"/>
          </w:tcPr>
          <w:p>
            <w:pPr>
              <w:ind w:left="2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275,517</w:t>
            </w:r>
          </w:p>
        </w:tc>
        <w:tc>
          <w:tcPr>
            <w:tcW w:w="26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222,005</w:t>
            </w:r>
          </w:p>
        </w:tc>
      </w:tr>
      <w:tr>
        <w:trPr>
          <w:trHeight w:val="20"/>
        </w:trPr>
        <w:tc>
          <w:tcPr>
            <w:tcW w:w="30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0"/>
        </w:trPr>
        <w:tc>
          <w:tcPr>
            <w:tcW w:w="3000" w:type="dxa"/>
            <w:vAlign w:val="bottom"/>
            <w:tcBorders>
              <w:bottom w:val="single" w:sz="8" w:color="auto"/>
            </w:tcBorders>
          </w:tcPr>
          <w:p>
            <w:pPr>
              <w:spacing w:after="0"/>
              <w:rPr>
                <w:sz w:val="18"/>
                <w:szCs w:val="18"/>
                <w:color w:val="auto"/>
              </w:rPr>
            </w:pPr>
          </w:p>
        </w:tc>
        <w:tc>
          <w:tcPr>
            <w:tcW w:w="4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r>
    </w:tbl>
    <w:p>
      <w:pPr>
        <w:spacing w:after="0" w:line="134" w:lineRule="exact"/>
        <w:rPr>
          <w:sz w:val="20"/>
          <w:szCs w:val="20"/>
          <w:color w:val="auto"/>
        </w:rPr>
      </w:pPr>
    </w:p>
    <w:p>
      <w:pPr>
        <w:ind w:left="340" w:right="20" w:hanging="332"/>
        <w:spacing w:after="0" w:line="277" w:lineRule="auto"/>
        <w:tabs>
          <w:tab w:leader="none" w:pos="334" w:val="left"/>
        </w:tabs>
        <w:numPr>
          <w:ilvl w:val="0"/>
          <w:numId w:val="4"/>
        </w:numPr>
        <w:rPr>
          <w:rFonts w:ascii="Arial" w:cs="Arial" w:eastAsia="Arial" w:hAnsi="Arial"/>
          <w:sz w:val="18"/>
          <w:szCs w:val="18"/>
          <w:color w:val="auto"/>
        </w:rPr>
      </w:pPr>
      <w:r>
        <w:rPr>
          <w:rFonts w:ascii="Arial" w:cs="Arial" w:eastAsia="Arial" w:hAnsi="Arial"/>
          <w:sz w:val="18"/>
          <w:szCs w:val="18"/>
          <w:color w:val="auto"/>
        </w:rPr>
        <w:t>Americas includes the United States (“U.S.”), Canada, and Latin America (including the Caribbean). Revenue attributable to the U.S. totaled $116,133 and $92,940 for the three months ended March 31, 2022 and 2021, respectively.</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Revenue attributable to the United Kingdom totaled $22,291 and $22,383 for the three months ended March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Acquisitions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January 31, 2022, the Company completed the acquisition of Power Line Systems, a leader in software for the design of overhead electric power transmission lines and their structures, for $695,968 in cash, net of cash acquired. For the year ended December 31, 2021, the Company completed a number of acquisitions, for an aggregate purchase price of $1,269,844. On June 17, 2021, the Company completed the acquisition of Seequent, a leader in software for geological and geophysical modeling, geotechnical stability, and cloud services for geodata management and collaboration, for $883,336 in cash, net of cash acquired, plus 3,141,342 shares of the Company’s Class B Common Stock. The operating results of the acquired businesses, except for Seequent, were not material, individually or in the aggregate, to the Company’s consolidated statements of operations and financial position.</w:t>
      </w:r>
    </w:p>
    <w:p>
      <w:pPr>
        <w:sectPr>
          <w:pgSz w:w="11900" w:h="16838" w:orient="portrait"/>
          <w:cols w:equalWidth="0" w:num="1">
            <w:col w:w="11240"/>
          </w:cols>
          <w:pgMar w:left="320" w:top="1440" w:right="339" w:bottom="1440" w:gutter="0" w:footer="0" w:header="0"/>
        </w:sectPr>
      </w:pP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aggregate details of the Company’s acquisition activity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603885</wp:posOffset>
            </wp:positionV>
            <wp:extent cx="713232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Number of acquisitions</w:t>
      </w:r>
    </w:p>
    <w:p>
      <w:pPr>
        <w:spacing w:after="0" w:line="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Cash paid at closing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acquired</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cash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9030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320"/>
        <w:spacing w:after="0"/>
        <w:rPr>
          <w:sz w:val="20"/>
          <w:szCs w:val="20"/>
          <w:color w:val="auto"/>
        </w:rPr>
      </w:pPr>
      <w:r>
        <w:rPr>
          <w:rFonts w:ascii="Arial" w:cs="Arial" w:eastAsia="Arial" w:hAnsi="Arial"/>
          <w:sz w:val="16"/>
          <w:szCs w:val="16"/>
          <w:b w:val="1"/>
          <w:bCs w:val="1"/>
          <w:color w:val="auto"/>
        </w:rPr>
        <w:t>Acquisitions Completed in</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0" w:type="dxa"/>
            <w:vAlign w:val="bottom"/>
            <w:tcBorders>
              <w:top w:val="single" w:sz="8" w:color="auto"/>
            </w:tcBorders>
          </w:tcPr>
          <w:p>
            <w:pPr>
              <w:spacing w:after="0"/>
              <w:rPr>
                <w:sz w:val="18"/>
                <w:szCs w:val="18"/>
                <w:color w:val="auto"/>
              </w:rPr>
            </w:pPr>
          </w:p>
        </w:tc>
        <w:tc>
          <w:tcPr>
            <w:tcW w:w="2160" w:type="dxa"/>
            <w:vAlign w:val="bottom"/>
            <w:tcBorders>
              <w:top w:val="single" w:sz="8" w:color="auto"/>
            </w:tcBorders>
            <w:gridSpan w:val="2"/>
          </w:tcPr>
          <w:p>
            <w:pPr>
              <w:jc w:val="center"/>
              <w:ind w:right="480"/>
              <w:spacing w:after="0"/>
              <w:rPr>
                <w:sz w:val="20"/>
                <w:szCs w:val="20"/>
                <w:color w:val="auto"/>
              </w:rPr>
            </w:pPr>
            <w:r>
              <w:rPr>
                <w:rFonts w:ascii="Arial" w:cs="Arial" w:eastAsia="Arial" w:hAnsi="Arial"/>
                <w:sz w:val="16"/>
                <w:szCs w:val="16"/>
                <w:b w:val="1"/>
                <w:bCs w:val="1"/>
                <w:color w:val="auto"/>
                <w:w w:val="93"/>
              </w:rPr>
              <w:t>Three Months Ended</w:t>
            </w:r>
          </w:p>
        </w:tc>
        <w:tc>
          <w:tcPr>
            <w:tcW w:w="24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jc w:val="right"/>
              <w:ind w:right="553"/>
              <w:spacing w:after="0"/>
              <w:rPr>
                <w:sz w:val="20"/>
                <w:szCs w:val="20"/>
                <w:color w:val="auto"/>
              </w:rPr>
            </w:pPr>
            <w:r>
              <w:rPr>
                <w:rFonts w:ascii="Arial" w:cs="Arial" w:eastAsia="Arial" w:hAnsi="Arial"/>
                <w:sz w:val="16"/>
                <w:szCs w:val="16"/>
                <w:b w:val="1"/>
                <w:bCs w:val="1"/>
                <w:color w:val="auto"/>
              </w:rPr>
              <w:t>Year Ended</w:t>
            </w:r>
          </w:p>
        </w:tc>
      </w:tr>
      <w:tr>
        <w:trPr>
          <w:trHeight w:val="218"/>
        </w:trPr>
        <w:tc>
          <w:tcPr>
            <w:tcW w:w="200" w:type="dxa"/>
            <w:vAlign w:val="bottom"/>
          </w:tcPr>
          <w:p>
            <w:pPr>
              <w:spacing w:after="0"/>
              <w:rPr>
                <w:sz w:val="18"/>
                <w:szCs w:val="18"/>
                <w:color w:val="auto"/>
              </w:rPr>
            </w:pPr>
          </w:p>
        </w:tc>
        <w:tc>
          <w:tcPr>
            <w:tcW w:w="216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4"/>
              </w:rPr>
              <w:t>March 31, 2022</w:t>
            </w:r>
          </w:p>
        </w:tc>
        <w:tc>
          <w:tcPr>
            <w:tcW w:w="240" w:type="dxa"/>
            <w:vAlign w:val="bottom"/>
          </w:tcPr>
          <w:p>
            <w:pPr>
              <w:spacing w:after="0"/>
              <w:rPr>
                <w:sz w:val="18"/>
                <w:szCs w:val="18"/>
                <w:color w:val="auto"/>
              </w:rPr>
            </w:pPr>
          </w:p>
        </w:tc>
        <w:tc>
          <w:tcPr>
            <w:tcW w:w="1860" w:type="dxa"/>
            <w:vAlign w:val="bottom"/>
          </w:tcPr>
          <w:p>
            <w:pPr>
              <w:jc w:val="right"/>
              <w:ind w:right="313"/>
              <w:spacing w:after="0"/>
              <w:rPr>
                <w:sz w:val="20"/>
                <w:szCs w:val="20"/>
                <w:color w:val="auto"/>
              </w:rPr>
            </w:pPr>
            <w:r>
              <w:rPr>
                <w:rFonts w:ascii="Arial" w:cs="Arial" w:eastAsia="Arial" w:hAnsi="Arial"/>
                <w:sz w:val="16"/>
                <w:szCs w:val="16"/>
                <w:b w:val="1"/>
                <w:bCs w:val="1"/>
                <w:color w:val="auto"/>
                <w:w w:val="99"/>
              </w:rPr>
              <w:t>December 31, 2021</w:t>
            </w:r>
          </w:p>
        </w:tc>
      </w:tr>
      <w:tr>
        <w:trPr>
          <w:trHeight w:val="227"/>
        </w:trPr>
        <w:tc>
          <w:tcPr>
            <w:tcW w:w="20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69"/>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715,114</w:t>
            </w:r>
          </w:p>
        </w:tc>
        <w:tc>
          <w:tcPr>
            <w:tcW w:w="26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1,072,820</w:t>
            </w:r>
          </w:p>
        </w:tc>
      </w:tr>
      <w:tr>
        <w:trPr>
          <w:trHeight w:val="270"/>
        </w:trPr>
        <w:tc>
          <w:tcPr>
            <w:tcW w:w="200" w:type="dxa"/>
            <w:vAlign w:val="bottom"/>
            <w:tcBorders>
              <w:bottom w:val="single" w:sz="8" w:color="auto"/>
            </w:tcBorders>
          </w:tcPr>
          <w:p>
            <w:pPr>
              <w:spacing w:after="0"/>
              <w:rPr>
                <w:sz w:val="23"/>
                <w:szCs w:val="23"/>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(19,146)</w:t>
            </w:r>
          </w:p>
        </w:tc>
        <w:tc>
          <w:tcPr>
            <w:tcW w:w="2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(37,837)</w:t>
            </w:r>
          </w:p>
        </w:tc>
      </w:tr>
      <w:tr>
        <w:trPr>
          <w:trHeight w:val="223"/>
        </w:trPr>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695,968</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1,034,983</w:t>
            </w:r>
          </w:p>
        </w:tc>
      </w:tr>
      <w:tr>
        <w:trPr>
          <w:trHeight w:val="21"/>
        </w:trPr>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060" w:space="720"/>
            <w:col w:w="4460"/>
          </w:cols>
          <w:pgMar w:left="320" w:top="1440" w:right="339" w:bottom="1440" w:gutter="0" w:footer="0" w:header="0"/>
          <w:type w:val="continuous"/>
        </w:sectPr>
      </w:pPr>
    </w:p>
    <w:p>
      <w:pPr>
        <w:spacing w:after="0" w:line="150" w:lineRule="exact"/>
        <w:rPr>
          <w:sz w:val="20"/>
          <w:szCs w:val="20"/>
          <w:color w:val="auto"/>
        </w:rPr>
      </w:pPr>
    </w:p>
    <w:p>
      <w:pPr>
        <w:ind w:left="340" w:right="20" w:hanging="332"/>
        <w:spacing w:after="0" w:line="277" w:lineRule="auto"/>
        <w:tabs>
          <w:tab w:leader="none" w:pos="334" w:val="left"/>
        </w:tabs>
        <w:numPr>
          <w:ilvl w:val="0"/>
          <w:numId w:val="5"/>
        </w:numPr>
        <w:rPr>
          <w:rFonts w:ascii="Arial" w:cs="Arial" w:eastAsia="Arial" w:hAnsi="Arial"/>
          <w:sz w:val="18"/>
          <w:szCs w:val="18"/>
          <w:color w:val="auto"/>
        </w:rPr>
      </w:pPr>
      <w:r>
        <w:rPr>
          <w:rFonts w:ascii="Arial" w:cs="Arial" w:eastAsia="Arial" w:hAnsi="Arial"/>
          <w:sz w:val="18"/>
          <w:szCs w:val="18"/>
          <w:color w:val="auto"/>
        </w:rPr>
        <w:t>Of the cash paid at closing for the three months ended March 31, 2022 and year ended December 31, 2021, $3,000 and $8,701, respectively, was deposited into an escrow account to secure any potential indemnification and other obligations of the seller.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contingent consideration from acquisitions is included in the consolidated balance sheets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31, 2022</w:t>
            </w:r>
          </w:p>
        </w:tc>
        <w:tc>
          <w:tcPr>
            <w:tcW w:w="200" w:type="dxa"/>
            <w:vAlign w:val="bottom"/>
          </w:tcPr>
          <w:p>
            <w:pPr>
              <w:spacing w:after="0"/>
              <w:rPr>
                <w:sz w:val="18"/>
                <w:szCs w:val="18"/>
                <w:color w:val="auto"/>
              </w:rPr>
            </w:pPr>
          </w:p>
        </w:tc>
        <w:tc>
          <w:tcPr>
            <w:tcW w:w="1740" w:type="dxa"/>
            <w:vAlign w:val="bottom"/>
          </w:tcPr>
          <w:p>
            <w:pPr>
              <w:jc w:val="right"/>
              <w:ind w:right="232"/>
              <w:spacing w:after="0"/>
              <w:rPr>
                <w:sz w:val="20"/>
                <w:szCs w:val="20"/>
                <w:color w:val="auto"/>
              </w:rPr>
            </w:pPr>
            <w:r>
              <w:rPr>
                <w:rFonts w:ascii="Arial" w:cs="Arial" w:eastAsia="Arial" w:hAnsi="Arial"/>
                <w:sz w:val="16"/>
                <w:szCs w:val="16"/>
                <w:b w:val="1"/>
                <w:bCs w:val="1"/>
                <w:color w:val="auto"/>
                <w:w w:val="97"/>
              </w:rPr>
              <w:t>December 31, 2021</w:t>
            </w:r>
          </w:p>
        </w:tc>
      </w:tr>
      <w:tr>
        <w:trPr>
          <w:trHeight w:val="226"/>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Accruals and other current liabilities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3,401</w:t>
            </w:r>
          </w:p>
        </w:tc>
        <w:tc>
          <w:tcPr>
            <w:tcW w:w="2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5,382</w:t>
            </w:r>
          </w:p>
        </w:tc>
      </w:tr>
      <w:tr>
        <w:trPr>
          <w:trHeight w:val="230"/>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w:t>
            </w: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Contingent consideration from acquisitions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4,361</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6,613</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non-contingent consideration from acquisitions is included in the consolidated balance sheets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31, 2022</w:t>
            </w:r>
          </w:p>
        </w:tc>
        <w:tc>
          <w:tcPr>
            <w:tcW w:w="200" w:type="dxa"/>
            <w:vAlign w:val="bottom"/>
          </w:tcPr>
          <w:p>
            <w:pPr>
              <w:spacing w:after="0"/>
              <w:rPr>
                <w:sz w:val="18"/>
                <w:szCs w:val="18"/>
                <w:color w:val="auto"/>
              </w:rPr>
            </w:pPr>
          </w:p>
        </w:tc>
        <w:tc>
          <w:tcPr>
            <w:tcW w:w="1740" w:type="dxa"/>
            <w:vAlign w:val="bottom"/>
          </w:tcPr>
          <w:p>
            <w:pPr>
              <w:jc w:val="right"/>
              <w:ind w:right="232"/>
              <w:spacing w:after="0"/>
              <w:rPr>
                <w:sz w:val="20"/>
                <w:szCs w:val="20"/>
                <w:color w:val="auto"/>
              </w:rPr>
            </w:pPr>
            <w:r>
              <w:rPr>
                <w:rFonts w:ascii="Arial" w:cs="Arial" w:eastAsia="Arial" w:hAnsi="Arial"/>
                <w:sz w:val="16"/>
                <w:szCs w:val="16"/>
                <w:b w:val="1"/>
                <w:bCs w:val="1"/>
                <w:color w:val="auto"/>
                <w:w w:val="97"/>
              </w:rPr>
              <w:t>December 31, 2021</w:t>
            </w:r>
          </w:p>
        </w:tc>
      </w:tr>
      <w:tr>
        <w:trPr>
          <w:trHeight w:val="226"/>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Accruals and other current liabilities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2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4,751</w:t>
            </w:r>
          </w:p>
        </w:tc>
      </w:tr>
      <w:tr>
        <w:trPr>
          <w:trHeight w:val="230"/>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6,180</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6,177</w:t>
            </w: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Non-contingent consideration from acquisitions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9,702</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10,928</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operating results of the acquired businesses are included in the Company’s consolidated financial statements from the closing date of each respective acquisition. The purchase price for each acquisition has been allocated to the net tangible and intangible assets and liabilities based on their estimated fair values at the respective acquisition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4" w:name="page15"/>
    <w:bookmarkEnd w:id="14"/>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in the process of finalizing the purchase accounting for Power Line Systems. Identifiable assets acquired and liabilities assumed were provisionally recorded at their estimated fair values on the acquisition date. The initial accounting for Power Line Systems is not complete because the evaluation necessary to assess the fair values of certain net assets acquired is still in process. The provisional amounts are subject to revision until the evaluations are completed to the extent that additional information is obtained about the facts and circumstances that existed as of the acquisition date. The allocation of the purchase price may be modified from the date of the acquisition as more information is obtained about the fair values of assets acquired and liabilities assumed, however, such measurement period cannot exceed one year.</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Acquisition costs are expensed as incurred and are recorded in </w:t>
      </w:r>
      <w:r>
        <w:rPr>
          <w:rFonts w:ascii="Arial" w:cs="Arial" w:eastAsia="Arial" w:hAnsi="Arial"/>
          <w:sz w:val="18"/>
          <w:szCs w:val="18"/>
          <w:i w:val="1"/>
          <w:iCs w:val="1"/>
          <w:color w:val="auto"/>
        </w:rPr>
        <w:t>General and administrative</w:t>
      </w:r>
      <w:r>
        <w:rPr>
          <w:rFonts w:ascii="Arial" w:cs="Arial" w:eastAsia="Arial" w:hAnsi="Arial"/>
          <w:sz w:val="18"/>
          <w:szCs w:val="18"/>
          <w:color w:val="auto"/>
        </w:rPr>
        <w:t xml:space="preserve"> in the consolidated statements of operations. For the three months ended March 31, 2022 and 2021, the Company incurred acquisition expenses of $10,574 and $6,861, respectively, which include costs related to legal, accounting, valuation, insurance, general administrative, and other consulting fees. For the three months ended March 31, 2022, $9,773 of the Company’s acquisition expenses related to the acquisition of Power Line Systems, and $6,716 of the Company’s acquisition expenses related to the acquisition of Seequent for the three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summarizes the fair values of the assets acquired and liabilities assumed, as well as the weighted average useful lives assigned to acquired intangible assets at the respective date of each acquisition (including contingent consideration):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260" w:type="dxa"/>
            <w:vAlign w:val="bottom"/>
            <w:tcBorders>
              <w:bottom w:val="single" w:sz="8" w:color="auto"/>
            </w:tcBorders>
            <w:gridSpan w:val="4"/>
          </w:tcPr>
          <w:p>
            <w:pPr>
              <w:jc w:val="right"/>
              <w:ind w:right="1231"/>
              <w:spacing w:after="0"/>
              <w:rPr>
                <w:sz w:val="20"/>
                <w:szCs w:val="20"/>
                <w:color w:val="auto"/>
              </w:rPr>
            </w:pPr>
            <w:r>
              <w:rPr>
                <w:rFonts w:ascii="Arial" w:cs="Arial" w:eastAsia="Arial" w:hAnsi="Arial"/>
                <w:sz w:val="16"/>
                <w:szCs w:val="16"/>
                <w:b w:val="1"/>
                <w:bCs w:val="1"/>
                <w:color w:val="auto"/>
              </w:rPr>
              <w:t>Acquisitions Completed in</w:t>
            </w:r>
          </w:p>
        </w:tc>
      </w:tr>
      <w:tr>
        <w:trPr>
          <w:trHeight w:val="207"/>
        </w:trPr>
        <w:tc>
          <w:tcPr>
            <w:tcW w:w="300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6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3"/>
              </w:rPr>
              <w:t>Three Months Ended</w:t>
            </w:r>
          </w:p>
        </w:tc>
        <w:tc>
          <w:tcPr>
            <w:tcW w:w="240" w:type="dxa"/>
            <w:vAlign w:val="bottom"/>
          </w:tcPr>
          <w:p>
            <w:pPr>
              <w:spacing w:after="0"/>
              <w:rPr>
                <w:sz w:val="17"/>
                <w:szCs w:val="17"/>
                <w:color w:val="auto"/>
              </w:rPr>
            </w:pPr>
          </w:p>
        </w:tc>
        <w:tc>
          <w:tcPr>
            <w:tcW w:w="1860" w:type="dxa"/>
            <w:vAlign w:val="bottom"/>
          </w:tcPr>
          <w:p>
            <w:pPr>
              <w:jc w:val="right"/>
              <w:ind w:right="551"/>
              <w:spacing w:after="0"/>
              <w:rPr>
                <w:sz w:val="20"/>
                <w:szCs w:val="20"/>
                <w:color w:val="auto"/>
              </w:rPr>
            </w:pPr>
            <w:r>
              <w:rPr>
                <w:rFonts w:ascii="Arial" w:cs="Arial" w:eastAsia="Arial" w:hAnsi="Arial"/>
                <w:sz w:val="16"/>
                <w:szCs w:val="16"/>
                <w:b w:val="1"/>
                <w:bCs w:val="1"/>
                <w:color w:val="auto"/>
              </w:rPr>
              <w:t>Year Ended</w:t>
            </w:r>
          </w:p>
        </w:tc>
      </w:tr>
      <w:tr>
        <w:trPr>
          <w:trHeight w:val="219"/>
        </w:trPr>
        <w:tc>
          <w:tcPr>
            <w:tcW w:w="300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6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4"/>
              </w:rPr>
              <w:t>March 31, 2022</w:t>
            </w:r>
          </w:p>
        </w:tc>
        <w:tc>
          <w:tcPr>
            <w:tcW w:w="240" w:type="dxa"/>
            <w:vAlign w:val="bottom"/>
          </w:tcPr>
          <w:p>
            <w:pPr>
              <w:spacing w:after="0"/>
              <w:rPr>
                <w:sz w:val="19"/>
                <w:szCs w:val="19"/>
                <w:color w:val="auto"/>
              </w:rPr>
            </w:pPr>
          </w:p>
        </w:tc>
        <w:tc>
          <w:tcPr>
            <w:tcW w:w="1860" w:type="dxa"/>
            <w:vAlign w:val="bottom"/>
          </w:tcPr>
          <w:p>
            <w:pPr>
              <w:jc w:val="right"/>
              <w:ind w:right="311"/>
              <w:spacing w:after="0"/>
              <w:rPr>
                <w:sz w:val="20"/>
                <w:szCs w:val="20"/>
                <w:color w:val="auto"/>
              </w:rPr>
            </w:pPr>
            <w:r>
              <w:rPr>
                <w:rFonts w:ascii="Arial" w:cs="Arial" w:eastAsia="Arial" w:hAnsi="Arial"/>
                <w:sz w:val="16"/>
                <w:szCs w:val="16"/>
                <w:b w:val="1"/>
                <w:bCs w:val="1"/>
                <w:color w:val="auto"/>
                <w:w w:val="99"/>
              </w:rPr>
              <w:t>December 31, 2021</w:t>
            </w:r>
          </w:p>
        </w:tc>
      </w:tr>
      <w:tr>
        <w:trPr>
          <w:trHeight w:val="213"/>
        </w:trPr>
        <w:tc>
          <w:tcPr>
            <w:tcW w:w="67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Consideration:</w:t>
            </w:r>
          </w:p>
        </w:tc>
        <w:tc>
          <w:tcPr>
            <w:tcW w:w="200" w:type="dxa"/>
            <w:vAlign w:val="bottom"/>
            <w:tcBorders>
              <w:top w:val="single" w:sz="8" w:color="auto"/>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r>
      <w:tr>
        <w:trPr>
          <w:trHeight w:val="270"/>
        </w:trPr>
        <w:tc>
          <w:tcPr>
            <w:tcW w:w="6780" w:type="dxa"/>
            <w:vAlign w:val="bottom"/>
            <w:gridSpan w:val="2"/>
          </w:tcPr>
          <w:p>
            <w:pPr>
              <w:ind w:left="180"/>
              <w:spacing w:after="0"/>
              <w:rPr>
                <w:sz w:val="20"/>
                <w:szCs w:val="20"/>
                <w:color w:val="auto"/>
              </w:rPr>
            </w:pPr>
            <w:r>
              <w:rPr>
                <w:rFonts w:ascii="Arial" w:cs="Arial" w:eastAsia="Arial" w:hAnsi="Arial"/>
                <w:sz w:val="18"/>
                <w:szCs w:val="18"/>
                <w:color w:val="auto"/>
              </w:rPr>
              <w:t>Cash paid at closing</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715,114</w:t>
            </w:r>
          </w:p>
        </w:tc>
        <w:tc>
          <w:tcPr>
            <w:tcW w:w="26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1,072,820</w:t>
            </w:r>
          </w:p>
        </w:tc>
      </w:tr>
      <w:tr>
        <w:trPr>
          <w:trHeight w:val="270"/>
        </w:trPr>
        <w:tc>
          <w:tcPr>
            <w:tcW w:w="6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Shares issued at closing </w:t>
            </w:r>
            <w:r>
              <w:rPr>
                <w:rFonts w:ascii="Arial" w:cs="Arial" w:eastAsia="Arial" w:hAnsi="Arial"/>
                <w:sz w:val="23"/>
                <w:szCs w:val="23"/>
                <w:color w:val="auto"/>
                <w:vertAlign w:val="superscript"/>
              </w:rPr>
              <w:t>(1)(2)</w:t>
            </w:r>
          </w:p>
        </w:tc>
        <w:tc>
          <w:tcPr>
            <w:tcW w:w="200" w:type="dxa"/>
            <w:vAlign w:val="bottom"/>
            <w:shd w:val="clear" w:color="auto" w:fill="CCEEFF"/>
          </w:tcPr>
          <w:p>
            <w:pPr>
              <w:spacing w:after="0"/>
              <w:rPr>
                <w:sz w:val="23"/>
                <w:szCs w:val="23"/>
                <w:color w:val="auto"/>
              </w:rPr>
            </w:pPr>
          </w:p>
        </w:tc>
        <w:tc>
          <w:tcPr>
            <w:tcW w:w="2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182,390</w:t>
            </w:r>
          </w:p>
        </w:tc>
      </w:tr>
      <w:tr>
        <w:trPr>
          <w:trHeight w:val="270"/>
        </w:trPr>
        <w:tc>
          <w:tcPr>
            <w:tcW w:w="6780" w:type="dxa"/>
            <w:vAlign w:val="bottom"/>
            <w:gridSpan w:val="2"/>
          </w:tcPr>
          <w:p>
            <w:pPr>
              <w:ind w:left="180"/>
              <w:spacing w:after="0"/>
              <w:rPr>
                <w:sz w:val="20"/>
                <w:szCs w:val="20"/>
                <w:color w:val="auto"/>
              </w:rPr>
            </w:pPr>
            <w:r>
              <w:rPr>
                <w:rFonts w:ascii="Arial" w:cs="Arial" w:eastAsia="Arial" w:hAnsi="Arial"/>
                <w:sz w:val="18"/>
                <w:szCs w:val="18"/>
                <w:color w:val="auto"/>
              </w:rPr>
              <w:t>Contingent consideration</w:t>
            </w:r>
          </w:p>
        </w:tc>
        <w:tc>
          <w:tcPr>
            <w:tcW w:w="200" w:type="dxa"/>
            <w:vAlign w:val="bottom"/>
          </w:tcPr>
          <w:p>
            <w:pPr>
              <w:spacing w:after="0"/>
              <w:rPr>
                <w:sz w:val="23"/>
                <w:szCs w:val="23"/>
                <w:color w:val="auto"/>
              </w:rPr>
            </w:pPr>
          </w:p>
        </w:tc>
        <w:tc>
          <w:tcPr>
            <w:tcW w:w="2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4,544</w:t>
            </w:r>
          </w:p>
        </w:tc>
      </w:tr>
      <w:tr>
        <w:trPr>
          <w:trHeight w:val="270"/>
        </w:trPr>
        <w:tc>
          <w:tcPr>
            <w:tcW w:w="6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non-contingent consideration, net</w:t>
            </w:r>
          </w:p>
        </w:tc>
        <w:tc>
          <w:tcPr>
            <w:tcW w:w="200" w:type="dxa"/>
            <w:vAlign w:val="bottom"/>
            <w:shd w:val="clear" w:color="auto" w:fill="CCEEFF"/>
          </w:tcPr>
          <w:p>
            <w:pPr>
              <w:spacing w:after="0"/>
              <w:rPr>
                <w:sz w:val="23"/>
                <w:szCs w:val="23"/>
                <w:color w:val="auto"/>
              </w:rPr>
            </w:pPr>
          </w:p>
        </w:tc>
        <w:tc>
          <w:tcPr>
            <w:tcW w:w="2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10,090</w:t>
            </w:r>
          </w:p>
        </w:tc>
      </w:tr>
      <w:tr>
        <w:trPr>
          <w:trHeight w:val="223"/>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Total consideration</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715,114</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1,269,844</w:t>
            </w: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196"/>
        </w:trPr>
        <w:tc>
          <w:tcPr>
            <w:tcW w:w="678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Assets acquired and liabilities assumed:</w:t>
            </w:r>
          </w:p>
        </w:tc>
        <w:tc>
          <w:tcPr>
            <w:tcW w:w="2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r>
      <w:tr>
        <w:trPr>
          <w:trHeight w:val="270"/>
        </w:trPr>
        <w:tc>
          <w:tcPr>
            <w:tcW w:w="6780" w:type="dxa"/>
            <w:vAlign w:val="bottom"/>
            <w:gridSpan w:val="2"/>
          </w:tcPr>
          <w:p>
            <w:pPr>
              <w:ind w:left="180"/>
              <w:spacing w:after="0"/>
              <w:rPr>
                <w:sz w:val="20"/>
                <w:szCs w:val="20"/>
                <w:color w:val="auto"/>
              </w:rPr>
            </w:pPr>
            <w:r>
              <w:rPr>
                <w:rFonts w:ascii="Arial" w:cs="Arial" w:eastAsia="Arial" w:hAnsi="Arial"/>
                <w:sz w:val="18"/>
                <w:szCs w:val="18"/>
                <w:color w:val="auto"/>
              </w:rPr>
              <w:t>Cash</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19,146</w:t>
            </w:r>
          </w:p>
        </w:tc>
        <w:tc>
          <w:tcPr>
            <w:tcW w:w="26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37,837</w:t>
            </w:r>
          </w:p>
        </w:tc>
      </w:tr>
      <w:tr>
        <w:trPr>
          <w:trHeight w:val="270"/>
        </w:trPr>
        <w:tc>
          <w:tcPr>
            <w:tcW w:w="6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receivable and other current assets</w:t>
            </w:r>
          </w:p>
        </w:tc>
        <w:tc>
          <w:tcPr>
            <w:tcW w:w="200" w:type="dxa"/>
            <w:vAlign w:val="bottom"/>
            <w:shd w:val="clear" w:color="auto" w:fill="CCEEFF"/>
          </w:tcPr>
          <w:p>
            <w:pPr>
              <w:spacing w:after="0"/>
              <w:rPr>
                <w:sz w:val="23"/>
                <w:szCs w:val="23"/>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24,174</w:t>
            </w:r>
          </w:p>
        </w:tc>
      </w:tr>
      <w:tr>
        <w:trPr>
          <w:trHeight w:val="270"/>
        </w:trPr>
        <w:tc>
          <w:tcPr>
            <w:tcW w:w="6780" w:type="dxa"/>
            <w:vAlign w:val="bottom"/>
            <w:gridSpan w:val="2"/>
          </w:tcPr>
          <w:p>
            <w:pPr>
              <w:ind w:left="18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1,237</w:t>
            </w: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12,095</w:t>
            </w:r>
          </w:p>
        </w:tc>
      </w:tr>
      <w:tr>
        <w:trPr>
          <w:trHeight w:val="270"/>
        </w:trPr>
        <w:tc>
          <w:tcPr>
            <w:tcW w:w="6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Property and equipment</w:t>
            </w:r>
          </w:p>
        </w:tc>
        <w:tc>
          <w:tcPr>
            <w:tcW w:w="200" w:type="dxa"/>
            <w:vAlign w:val="bottom"/>
            <w:shd w:val="clear" w:color="auto" w:fill="CCEEFF"/>
          </w:tcPr>
          <w:p>
            <w:pPr>
              <w:spacing w:after="0"/>
              <w:rPr>
                <w:sz w:val="23"/>
                <w:szCs w:val="23"/>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4,383</w:t>
            </w:r>
          </w:p>
        </w:tc>
      </w:tr>
      <w:tr>
        <w:trPr>
          <w:trHeight w:val="270"/>
        </w:trPr>
        <w:tc>
          <w:tcPr>
            <w:tcW w:w="6780" w:type="dxa"/>
            <w:vAlign w:val="bottom"/>
            <w:gridSpan w:val="2"/>
          </w:tcPr>
          <w:p>
            <w:pPr>
              <w:ind w:left="18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3"/>
                <w:szCs w:val="23"/>
                <w:color w:val="auto"/>
              </w:rPr>
            </w:pPr>
          </w:p>
        </w:tc>
        <w:tc>
          <w:tcPr>
            <w:tcW w:w="2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874</w:t>
            </w:r>
          </w:p>
        </w:tc>
      </w:tr>
      <w:tr>
        <w:trPr>
          <w:trHeight w:val="270"/>
        </w:trPr>
        <w:tc>
          <w:tcPr>
            <w:tcW w:w="6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Software and technology (weighted average useful life of 5 years)</w:t>
            </w:r>
          </w:p>
        </w:tc>
        <w:tc>
          <w:tcPr>
            <w:tcW w:w="200" w:type="dxa"/>
            <w:vAlign w:val="bottom"/>
            <w:shd w:val="clear" w:color="auto" w:fill="CCEEFF"/>
          </w:tcPr>
          <w:p>
            <w:pPr>
              <w:spacing w:after="0"/>
              <w:rPr>
                <w:sz w:val="23"/>
                <w:szCs w:val="23"/>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9,700</w:t>
            </w: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43,560</w:t>
            </w:r>
          </w:p>
        </w:tc>
      </w:tr>
      <w:tr>
        <w:trPr>
          <w:trHeight w:val="270"/>
        </w:trPr>
        <w:tc>
          <w:tcPr>
            <w:tcW w:w="6780" w:type="dxa"/>
            <w:vAlign w:val="bottom"/>
            <w:gridSpan w:val="2"/>
          </w:tcPr>
          <w:p>
            <w:pPr>
              <w:ind w:left="180"/>
              <w:spacing w:after="0"/>
              <w:rPr>
                <w:sz w:val="20"/>
                <w:szCs w:val="20"/>
                <w:color w:val="auto"/>
              </w:rPr>
            </w:pPr>
            <w:r>
              <w:rPr>
                <w:rFonts w:ascii="Arial" w:cs="Arial" w:eastAsia="Arial" w:hAnsi="Arial"/>
                <w:sz w:val="18"/>
                <w:szCs w:val="18"/>
                <w:color w:val="auto"/>
                <w:w w:val="97"/>
              </w:rPr>
              <w:t>Customer relationships (weighted average useful life of 10 and 9 years, respectively)</w:t>
            </w:r>
          </w:p>
        </w:tc>
        <w:tc>
          <w:tcPr>
            <w:tcW w:w="20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78,300</w:t>
            </w: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158,555</w:t>
            </w:r>
          </w:p>
        </w:tc>
      </w:tr>
      <w:tr>
        <w:trPr>
          <w:trHeight w:val="270"/>
        </w:trPr>
        <w:tc>
          <w:tcPr>
            <w:tcW w:w="6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Trademarks (weighted average useful life of 10 years)</w:t>
            </w:r>
          </w:p>
        </w:tc>
        <w:tc>
          <w:tcPr>
            <w:tcW w:w="200" w:type="dxa"/>
            <w:vAlign w:val="bottom"/>
            <w:shd w:val="clear" w:color="auto" w:fill="CCEEFF"/>
          </w:tcPr>
          <w:p>
            <w:pPr>
              <w:spacing w:after="0"/>
              <w:rPr>
                <w:sz w:val="23"/>
                <w:szCs w:val="23"/>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w:t>
            </w: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38,256</w:t>
            </w:r>
          </w:p>
        </w:tc>
      </w:tr>
      <w:tr>
        <w:trPr>
          <w:trHeight w:val="270"/>
        </w:trPr>
        <w:tc>
          <w:tcPr>
            <w:tcW w:w="6780" w:type="dxa"/>
            <w:vAlign w:val="bottom"/>
            <w:gridSpan w:val="2"/>
          </w:tcPr>
          <w:p>
            <w:pPr>
              <w:ind w:left="180"/>
              <w:spacing w:after="0"/>
              <w:rPr>
                <w:sz w:val="20"/>
                <w:szCs w:val="20"/>
                <w:color w:val="auto"/>
              </w:rPr>
            </w:pPr>
            <w:r>
              <w:rPr>
                <w:rFonts w:ascii="Arial" w:cs="Arial" w:eastAsia="Arial" w:hAnsi="Arial"/>
                <w:sz w:val="18"/>
                <w:szCs w:val="18"/>
                <w:color w:val="auto"/>
              </w:rPr>
              <w:t>In-process research and development</w:t>
            </w:r>
          </w:p>
        </w:tc>
        <w:tc>
          <w:tcPr>
            <w:tcW w:w="200" w:type="dxa"/>
            <w:vAlign w:val="bottom"/>
          </w:tcPr>
          <w:p>
            <w:pPr>
              <w:spacing w:after="0"/>
              <w:rPr>
                <w:sz w:val="23"/>
                <w:szCs w:val="23"/>
                <w:color w:val="auto"/>
              </w:rPr>
            </w:pPr>
          </w:p>
        </w:tc>
        <w:tc>
          <w:tcPr>
            <w:tcW w:w="2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3,700</w:t>
            </w:r>
          </w:p>
        </w:tc>
      </w:tr>
      <w:tr>
        <w:trPr>
          <w:trHeight w:val="250"/>
        </w:trPr>
        <w:tc>
          <w:tcPr>
            <w:tcW w:w="6780" w:type="dxa"/>
            <w:vAlign w:val="bottom"/>
            <w:tcBorders>
              <w:top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identifiable assets acquired excluding goodwill</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115,644</w:t>
            </w:r>
          </w:p>
        </w:tc>
        <w:tc>
          <w:tcPr>
            <w:tcW w:w="26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323,434</w:t>
            </w:r>
          </w:p>
        </w:tc>
      </w:tr>
      <w:tr>
        <w:trPr>
          <w:trHeight w:val="250"/>
        </w:trPr>
        <w:tc>
          <w:tcPr>
            <w:tcW w:w="6780" w:type="dxa"/>
            <w:vAlign w:val="bottom"/>
            <w:gridSpan w:val="2"/>
          </w:tcPr>
          <w:p>
            <w:pPr>
              <w:ind w:left="180"/>
              <w:spacing w:after="0"/>
              <w:rPr>
                <w:sz w:val="20"/>
                <w:szCs w:val="20"/>
                <w:color w:val="auto"/>
              </w:rPr>
            </w:pPr>
            <w:r>
              <w:rPr>
                <w:rFonts w:ascii="Arial" w:cs="Arial" w:eastAsia="Arial" w:hAnsi="Arial"/>
                <w:sz w:val="18"/>
                <w:szCs w:val="18"/>
                <w:color w:val="auto"/>
              </w:rPr>
              <w:t>Accruals and other current liabilities</w:t>
            </w:r>
          </w:p>
        </w:tc>
        <w:tc>
          <w:tcPr>
            <w:tcW w:w="2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(610)</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(27,649)</w:t>
            </w:r>
          </w:p>
        </w:tc>
      </w:tr>
      <w:tr>
        <w:trPr>
          <w:trHeight w:val="270"/>
        </w:trPr>
        <w:tc>
          <w:tcPr>
            <w:tcW w:w="6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revenues</w:t>
            </w:r>
          </w:p>
        </w:tc>
        <w:tc>
          <w:tcPr>
            <w:tcW w:w="200" w:type="dxa"/>
            <w:vAlign w:val="bottom"/>
            <w:shd w:val="clear" w:color="auto" w:fill="CCEEFF"/>
          </w:tcPr>
          <w:p>
            <w:pPr>
              <w:spacing w:after="0"/>
              <w:rPr>
                <w:sz w:val="23"/>
                <w:szCs w:val="23"/>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(10,219)</w:t>
            </w: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(26,245)</w:t>
            </w:r>
          </w:p>
        </w:tc>
      </w:tr>
      <w:tr>
        <w:trPr>
          <w:trHeight w:val="270"/>
        </w:trPr>
        <w:tc>
          <w:tcPr>
            <w:tcW w:w="6780" w:type="dxa"/>
            <w:vAlign w:val="bottom"/>
            <w:gridSpan w:val="2"/>
          </w:tcPr>
          <w:p>
            <w:pPr>
              <w:ind w:left="180"/>
              <w:spacing w:after="0"/>
              <w:rPr>
                <w:sz w:val="20"/>
                <w:szCs w:val="20"/>
                <w:color w:val="auto"/>
              </w:rPr>
            </w:pPr>
            <w:r>
              <w:rPr>
                <w:rFonts w:ascii="Arial" w:cs="Arial" w:eastAsia="Arial" w:hAnsi="Arial"/>
                <w:sz w:val="18"/>
                <w:szCs w:val="18"/>
                <w:color w:val="auto"/>
              </w:rPr>
              <w:t>Operating lease liabilities</w:t>
            </w:r>
          </w:p>
        </w:tc>
        <w:tc>
          <w:tcPr>
            <w:tcW w:w="20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(1,237)</w:t>
            </w: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(11,988)</w:t>
            </w:r>
          </w:p>
        </w:tc>
      </w:tr>
      <w:tr>
        <w:trPr>
          <w:trHeight w:val="270"/>
        </w:trPr>
        <w:tc>
          <w:tcPr>
            <w:tcW w:w="6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23"/>
                <w:szCs w:val="23"/>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(6,865)</w:t>
            </w: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(53,342)</w:t>
            </w:r>
          </w:p>
        </w:tc>
      </w:tr>
      <w:tr>
        <w:trPr>
          <w:trHeight w:val="270"/>
        </w:trPr>
        <w:tc>
          <w:tcPr>
            <w:tcW w:w="6780" w:type="dxa"/>
            <w:vAlign w:val="bottom"/>
            <w:gridSpan w:val="2"/>
          </w:tcPr>
          <w:p>
            <w:pPr>
              <w:ind w:left="18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23"/>
                <w:szCs w:val="23"/>
                <w:color w:val="auto"/>
              </w:rPr>
            </w:pPr>
          </w:p>
        </w:tc>
        <w:tc>
          <w:tcPr>
            <w:tcW w:w="2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(716)</w:t>
            </w:r>
          </w:p>
        </w:tc>
      </w:tr>
      <w:tr>
        <w:trPr>
          <w:trHeight w:val="250"/>
        </w:trPr>
        <w:tc>
          <w:tcPr>
            <w:tcW w:w="6780" w:type="dxa"/>
            <w:vAlign w:val="bottom"/>
            <w:tcBorders>
              <w:top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liabilities assumed</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(18,931)</w:t>
            </w:r>
          </w:p>
        </w:tc>
        <w:tc>
          <w:tcPr>
            <w:tcW w:w="26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(119,940)</w:t>
            </w:r>
          </w:p>
        </w:tc>
      </w:tr>
      <w:tr>
        <w:trPr>
          <w:trHeight w:val="223"/>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Net identifiable assets acquired excluding goodwill</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96,713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203,494</w:t>
            </w:r>
          </w:p>
        </w:tc>
      </w:tr>
      <w:tr>
        <w:trPr>
          <w:trHeight w:val="270"/>
        </w:trPr>
        <w:tc>
          <w:tcPr>
            <w:tcW w:w="6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auto"/>
            </w:tcBorders>
            <w:shd w:val="clear" w:color="auto" w:fill="CCEEFF"/>
          </w:tcPr>
          <w:p>
            <w:pPr>
              <w:spacing w:after="0"/>
              <w:rPr>
                <w:sz w:val="23"/>
                <w:szCs w:val="23"/>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618,401</w:t>
            </w:r>
          </w:p>
        </w:tc>
        <w:tc>
          <w:tcPr>
            <w:tcW w:w="26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1,066,350</w:t>
            </w:r>
          </w:p>
        </w:tc>
      </w:tr>
      <w:tr>
        <w:trPr>
          <w:trHeight w:val="223"/>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Net assets acquired</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715,114</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1,269,844</w:t>
            </w:r>
          </w:p>
        </w:tc>
      </w:tr>
      <w:tr>
        <w:trPr>
          <w:trHeight w:val="20"/>
        </w:trPr>
        <w:tc>
          <w:tcPr>
            <w:tcW w:w="30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210"/>
        </w:trPr>
        <w:tc>
          <w:tcPr>
            <w:tcW w:w="3000" w:type="dxa"/>
            <w:vAlign w:val="bottom"/>
            <w:tcBorders>
              <w:bottom w:val="single" w:sz="8" w:color="auto"/>
            </w:tcBorders>
          </w:tcPr>
          <w:p>
            <w:pPr>
              <w:spacing w:after="0"/>
              <w:rPr>
                <w:sz w:val="18"/>
                <w:szCs w:val="18"/>
                <w:color w:val="auto"/>
              </w:rPr>
            </w:pPr>
          </w:p>
        </w:tc>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spacing w:after="0"/>
              <w:rPr>
                <w:sz w:val="18"/>
                <w:szCs w:val="18"/>
                <w:color w:val="auto"/>
              </w:rPr>
            </w:pPr>
          </w:p>
        </w:tc>
      </w:tr>
    </w:tbl>
    <w:p>
      <w:pPr>
        <w:spacing w:after="0" w:line="121" w:lineRule="exact"/>
        <w:rPr>
          <w:sz w:val="20"/>
          <w:szCs w:val="20"/>
          <w:color w:val="auto"/>
        </w:rPr>
      </w:pPr>
    </w:p>
    <w:p>
      <w:pPr>
        <w:ind w:left="340" w:hanging="332"/>
        <w:spacing w:after="0" w:line="224" w:lineRule="exact"/>
        <w:tabs>
          <w:tab w:leader="none" w:pos="334" w:val="left"/>
        </w:tabs>
        <w:numPr>
          <w:ilvl w:val="0"/>
          <w:numId w:val="6"/>
        </w:numPr>
        <w:rPr>
          <w:rFonts w:ascii="Arial" w:cs="Arial" w:eastAsia="Arial" w:hAnsi="Arial"/>
          <w:sz w:val="17"/>
          <w:szCs w:val="17"/>
          <w:color w:val="auto"/>
        </w:rPr>
      </w:pPr>
      <w:r>
        <w:rPr>
          <w:rFonts w:ascii="Arial" w:cs="Arial" w:eastAsia="Arial" w:hAnsi="Arial"/>
          <w:sz w:val="17"/>
          <w:szCs w:val="17"/>
          <w:color w:val="auto"/>
        </w:rPr>
        <w:t>Of the total 3,141,342 shares issued at closing, 83,627 shares are subject to forfeiture if post</w:t>
      </w:r>
      <w:r>
        <w:rPr>
          <w:rFonts w:ascii="MS PGothic" w:cs="MS PGothic" w:eastAsia="MS PGothic" w:hAnsi="MS PGothic"/>
          <w:sz w:val="17"/>
          <w:szCs w:val="17"/>
          <w:color w:val="auto"/>
        </w:rPr>
        <w:t>‑</w:t>
      </w:r>
      <w:r>
        <w:rPr>
          <w:rFonts w:ascii="Arial" w:cs="Arial" w:eastAsia="Arial" w:hAnsi="Arial"/>
          <w:sz w:val="17"/>
          <w:szCs w:val="17"/>
          <w:color w:val="auto"/>
        </w:rPr>
        <w:t>closing employment service conditions are not met. Accordingly, $5,452 is being recorded as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over the related forfeiture period of two years (see Note 15).</w:t>
      </w:r>
    </w:p>
    <w:p>
      <w:pPr>
        <w:spacing w:after="0" w:line="147" w:lineRule="exact"/>
        <w:rPr>
          <w:rFonts w:ascii="Arial" w:cs="Arial" w:eastAsia="Arial" w:hAnsi="Arial"/>
          <w:sz w:val="17"/>
          <w:szCs w:val="17"/>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fair value adjustment of $16,943 was applied to the stock consideration due to restrictions on the transfer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values of the working capital, other assets (liabilities), and property and equipment approximated their respective carrying values as of the acquisition date.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deferred revenues were determined in accordance with the Company’s revenue recognition policies (see Note 3).</w:t>
      </w:r>
    </w:p>
    <w:p>
      <w:pPr>
        <w:spacing w:after="0" w:line="225"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The fair values of the intangible assets were primarily determined using the income approach. When applying the income approach, indications of fair values were developed by discounting future net cash flows to their present values at market</w:t>
      </w:r>
      <w:r>
        <w:rPr>
          <w:rFonts w:ascii="MS PGothic" w:cs="MS PGothic" w:eastAsia="MS PGothic" w:hAnsi="MS PGothic"/>
          <w:sz w:val="18"/>
          <w:szCs w:val="18"/>
          <w:color w:val="auto"/>
        </w:rPr>
        <w:t>‑</w:t>
      </w:r>
      <w:r>
        <w:rPr>
          <w:rFonts w:ascii="Arial" w:cs="Arial" w:eastAsia="Arial" w:hAnsi="Arial"/>
          <w:sz w:val="18"/>
          <w:szCs w:val="18"/>
          <w:color w:val="auto"/>
        </w:rPr>
        <w:t>based rates of return. The cash flows were based on estimates used to price the acquisitions and the discount rates applied were benchmarked with reference to the implied rate of return from the Company’s pricing model and the weighted average cost of capital.</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Goodwill recorded in connection with the acquisitions was attributable to synergies expected to arise from cost saving opportunities, as well as future expected cash flows. The Company expects $519,564 of the goodwill recorded relating to the acquisition of Power Line Systems will be deductible for income tax purposes.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Financial Information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Had the acquisition of Seequent been made at the beginning of 2020, unaudited pro forma total revenues for the three months ended March 31, 2021 would have been $255,783. Net income, net income per share, basic, and net income per share, diluted for the three months ended March 31, 2021 would not have been materially different than the amounts reported primarily due to the pro forma adjustments to reflect the amortization of purchased intangibles and the cost to finance the transaction, net of the related tax effects.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unaudited pro forma financial information is for informational purposes only and is not indicative of the results of operations that would have been achieved if the acquisition had taken place at the beginning of 2021. The unaudited pro forma financial information combines the historical results of the Company, the adjusted historical results of Seequent considering the date the Company completed the acquisition of Seequent, and the effects of the pro forma adjustments described above.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Subsequent to March 31, 2022</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April 2022, the Company completed one acquisition. The acquisition is not expected to be material to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Property and Equipment,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31, 2022</w:t>
            </w:r>
          </w:p>
        </w:tc>
        <w:tc>
          <w:tcPr>
            <w:tcW w:w="200" w:type="dxa"/>
            <w:vAlign w:val="bottom"/>
          </w:tcPr>
          <w:p>
            <w:pPr>
              <w:spacing w:after="0"/>
              <w:rPr>
                <w:sz w:val="18"/>
                <w:szCs w:val="18"/>
                <w:color w:val="auto"/>
              </w:rPr>
            </w:pPr>
          </w:p>
        </w:tc>
        <w:tc>
          <w:tcPr>
            <w:tcW w:w="1740" w:type="dxa"/>
            <w:vAlign w:val="bottom"/>
          </w:tcPr>
          <w:p>
            <w:pPr>
              <w:jc w:val="right"/>
              <w:ind w:right="231"/>
              <w:spacing w:after="0"/>
              <w:rPr>
                <w:sz w:val="20"/>
                <w:szCs w:val="20"/>
                <w:color w:val="auto"/>
              </w:rPr>
            </w:pPr>
            <w:r>
              <w:rPr>
                <w:rFonts w:ascii="Arial" w:cs="Arial" w:eastAsia="Arial" w:hAnsi="Arial"/>
                <w:sz w:val="16"/>
                <w:szCs w:val="16"/>
                <w:b w:val="1"/>
                <w:bCs w:val="1"/>
                <w:color w:val="auto"/>
                <w:w w:val="97"/>
              </w:rPr>
              <w:t>December 31, 2021</w:t>
            </w:r>
          </w:p>
        </w:tc>
      </w:tr>
      <w:tr>
        <w:trPr>
          <w:trHeight w:val="226"/>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2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2,811</w:t>
            </w:r>
          </w:p>
        </w:tc>
      </w:tr>
      <w:tr>
        <w:trPr>
          <w:trHeight w:val="229"/>
        </w:trPr>
        <w:tc>
          <w:tcPr>
            <w:tcW w:w="7100" w:type="dxa"/>
            <w:vAlign w:val="bottom"/>
          </w:tcPr>
          <w:p>
            <w:pPr>
              <w:ind w:left="20"/>
              <w:spacing w:after="0"/>
              <w:rPr>
                <w:sz w:val="20"/>
                <w:szCs w:val="20"/>
                <w:color w:val="auto"/>
              </w:rPr>
            </w:pPr>
            <w:r>
              <w:rPr>
                <w:rFonts w:ascii="Arial" w:cs="Arial" w:eastAsia="Arial" w:hAnsi="Arial"/>
                <w:sz w:val="18"/>
                <w:szCs w:val="18"/>
                <w:color w:val="auto"/>
              </w:rPr>
              <w:t>Building and improvements</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36,366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35,188</w:t>
            </w:r>
          </w:p>
        </w:tc>
      </w:tr>
      <w:tr>
        <w:trPr>
          <w:trHeight w:val="22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49,169</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47,651</w:t>
            </w: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Furniture, fixtures, and equipment</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14,400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14,274</w:t>
            </w:r>
          </w:p>
        </w:tc>
      </w:tr>
      <w:tr>
        <w:trPr>
          <w:trHeight w:val="22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4,075</w:t>
            </w:r>
          </w:p>
        </w:tc>
      </w:tr>
      <w:tr>
        <w:trPr>
          <w:trHeight w:val="230"/>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r>
      <w:tr>
        <w:trPr>
          <w:trHeight w:val="223"/>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at cost</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104,843</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104,060</w:t>
            </w:r>
          </w:p>
        </w:tc>
      </w:tr>
      <w:tr>
        <w:trPr>
          <w:trHeight w:val="270"/>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Less: Accumulated depreciation</w:t>
            </w:r>
          </w:p>
        </w:tc>
        <w:tc>
          <w:tcPr>
            <w:tcW w:w="26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(72,800)</w:t>
            </w:r>
          </w:p>
        </w:tc>
        <w:tc>
          <w:tcPr>
            <w:tcW w:w="26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(72,237)</w:t>
            </w: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property and equipment,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32,043</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31,823</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the three months ended March 31, 2022 and 2021 was $2,490 and $2,497,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Equipment Sale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January 2022, the audit committee of the Company’s board of directors authorized the Company to sell 50% of its interest in the Company’s aircraft at fair market value to an entity controlled by the Company’s Chief Executive Officer. The transaction was completed on February 1, 2022 for $2,380 and resulted in a gain of $2,029, which was recorded in </w:t>
      </w:r>
      <w:r>
        <w:rPr>
          <w:rFonts w:ascii="Arial" w:cs="Arial" w:eastAsia="Arial" w:hAnsi="Arial"/>
          <w:sz w:val="17"/>
          <w:szCs w:val="17"/>
          <w:i w:val="1"/>
          <w:iCs w:val="1"/>
          <w:color w:val="auto"/>
        </w:rPr>
        <w:t>Other income, net</w:t>
      </w:r>
      <w:r>
        <w:rPr>
          <w:rFonts w:ascii="Arial" w:cs="Arial" w:eastAsia="Arial" w:hAnsi="Arial"/>
          <w:sz w:val="17"/>
          <w:szCs w:val="17"/>
          <w:color w:val="auto"/>
        </w:rPr>
        <w:t xml:space="preserve"> in the consolidated statement of operations for the three months ended March 31, 2022. Subsequent to the transaction, ongoing operating and fixed costs of the aircraft are shared on a proportional use basis subject to a cost-sharing agreement. Such costs were not material during the three months ended March 31, 2022. Pursuant to FASB Accounting Standards Codification (“ASC”) Topic 850, </w:t>
      </w:r>
      <w:r>
        <w:rPr>
          <w:rFonts w:ascii="Arial" w:cs="Arial" w:eastAsia="Arial" w:hAnsi="Arial"/>
          <w:sz w:val="17"/>
          <w:szCs w:val="17"/>
          <w:i w:val="1"/>
          <w:iCs w:val="1"/>
          <w:color w:val="auto"/>
        </w:rPr>
        <w:t>Related Party Disclosures</w:t>
      </w:r>
      <w:r>
        <w:rPr>
          <w:rFonts w:ascii="Arial" w:cs="Arial" w:eastAsia="Arial" w:hAnsi="Arial"/>
          <w:sz w:val="17"/>
          <w:szCs w:val="17"/>
          <w:color w:val="auto"/>
        </w:rPr>
        <w:t>, the Company determined this transaction was to a related party.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spacing w:after="0"/>
              <w:rPr>
                <w:sz w:val="20"/>
                <w:szCs w:val="20"/>
                <w:color w:val="auto"/>
              </w:rPr>
            </w:pPr>
            <w:r>
              <w:rPr>
                <w:rFonts w:ascii="Arial" w:cs="Arial" w:eastAsia="Arial" w:hAnsi="Arial"/>
                <w:sz w:val="18"/>
                <w:szCs w:val="18"/>
                <w:b w:val="1"/>
                <w:bCs w:val="1"/>
                <w:color w:val="auto"/>
              </w:rPr>
              <w:t>Note 6: Goodwill and Other Intangible Assets</w:t>
            </w: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32"/>
        </w:trPr>
        <w:tc>
          <w:tcPr>
            <w:tcW w:w="9680" w:type="dxa"/>
            <w:vAlign w:val="bottom"/>
          </w:tcPr>
          <w:p>
            <w:pPr>
              <w:spacing w:after="0"/>
              <w:rPr>
                <w:sz w:val="20"/>
                <w:szCs w:val="20"/>
                <w:color w:val="auto"/>
              </w:rPr>
            </w:pPr>
            <w:r>
              <w:rPr>
                <w:rFonts w:ascii="Arial" w:cs="Arial" w:eastAsia="Arial" w:hAnsi="Arial"/>
                <w:sz w:val="18"/>
                <w:szCs w:val="18"/>
                <w:color w:val="auto"/>
              </w:rPr>
              <w:t>The changes in the carrying amount of goodwill are as follows:</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43"/>
        </w:trPr>
        <w:tc>
          <w:tcPr>
            <w:tcW w:w="9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2021</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1,588,477</w:t>
            </w:r>
          </w:p>
        </w:tc>
      </w:tr>
      <w:tr>
        <w:trPr>
          <w:trHeight w:val="270"/>
        </w:trPr>
        <w:tc>
          <w:tcPr>
            <w:tcW w:w="9680" w:type="dxa"/>
            <w:vAlign w:val="bottom"/>
          </w:tcPr>
          <w:p>
            <w:pPr>
              <w:ind w:left="180"/>
              <w:spacing w:after="0"/>
              <w:rPr>
                <w:sz w:val="20"/>
                <w:szCs w:val="20"/>
                <w:color w:val="auto"/>
              </w:rPr>
            </w:pPr>
            <w:r>
              <w:rPr>
                <w:rFonts w:ascii="Arial" w:cs="Arial" w:eastAsia="Arial" w:hAnsi="Arial"/>
                <w:sz w:val="18"/>
                <w:szCs w:val="18"/>
                <w:color w:val="auto"/>
              </w:rPr>
              <w:t>Acquisitions</w:t>
            </w:r>
          </w:p>
        </w:tc>
        <w:tc>
          <w:tcPr>
            <w:tcW w:w="4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618,401</w:t>
            </w:r>
          </w:p>
        </w:tc>
      </w:tr>
      <w:tr>
        <w:trPr>
          <w:trHeight w:val="270"/>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4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10,828</w:t>
            </w:r>
          </w:p>
        </w:tc>
      </w:tr>
      <w:tr>
        <w:trPr>
          <w:trHeight w:val="270"/>
        </w:trPr>
        <w:tc>
          <w:tcPr>
            <w:tcW w:w="96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adjustments</w:t>
            </w:r>
          </w:p>
        </w:tc>
        <w:tc>
          <w:tcPr>
            <w:tcW w:w="4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 2022</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2,217,578</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Details of intangible assets other than goodwill are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95"/>
              </w:rPr>
              <w:t>March 31, 2022</w:t>
            </w: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December 31, 2021</w:t>
            </w: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440" w:type="dxa"/>
            <w:vAlign w:val="bottom"/>
          </w:tcPr>
          <w:p>
            <w:pPr>
              <w:spacing w:after="0"/>
              <w:rPr>
                <w:sz w:val="11"/>
                <w:szCs w:val="11"/>
                <w:color w:val="auto"/>
              </w:rPr>
            </w:pPr>
          </w:p>
        </w:tc>
        <w:tc>
          <w:tcPr>
            <w:tcW w:w="126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3"/>
              </w:rPr>
              <w:t>Estimated</w:t>
            </w:r>
          </w:p>
        </w:tc>
        <w:tc>
          <w:tcPr>
            <w:tcW w:w="200" w:type="dxa"/>
            <w:vAlign w:val="bottom"/>
          </w:tcPr>
          <w:p>
            <w:pPr>
              <w:spacing w:after="0"/>
              <w:rPr>
                <w:sz w:val="11"/>
                <w:szCs w:val="11"/>
                <w:color w:val="auto"/>
              </w:rPr>
            </w:pPr>
          </w:p>
        </w:tc>
        <w:tc>
          <w:tcPr>
            <w:tcW w:w="1060" w:type="dxa"/>
            <w:vAlign w:val="bottom"/>
            <w:gridSpan w:val="2"/>
          </w:tcPr>
          <w:p>
            <w:pPr>
              <w:jc w:val="center"/>
              <w:ind w:right="320"/>
              <w:spacing w:after="0" w:line="136" w:lineRule="exact"/>
              <w:rPr>
                <w:sz w:val="20"/>
                <w:szCs w:val="20"/>
                <w:color w:val="auto"/>
              </w:rPr>
            </w:pPr>
            <w:r>
              <w:rPr>
                <w:rFonts w:ascii="Arial" w:cs="Arial" w:eastAsia="Arial" w:hAnsi="Arial"/>
                <w:sz w:val="13"/>
                <w:szCs w:val="13"/>
                <w:b w:val="1"/>
                <w:bCs w:val="1"/>
                <w:color w:val="auto"/>
                <w:w w:val="90"/>
              </w:rPr>
              <w:t>Gross</w:t>
            </w:r>
          </w:p>
        </w:tc>
        <w:tc>
          <w:tcPr>
            <w:tcW w:w="120" w:type="dxa"/>
            <w:vAlign w:val="bottom"/>
          </w:tcPr>
          <w:p>
            <w:pPr>
              <w:spacing w:after="0"/>
              <w:rPr>
                <w:sz w:val="11"/>
                <w:szCs w:val="11"/>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3"/>
              </w:rPr>
              <w:t>Accumulated</w:t>
            </w:r>
          </w:p>
        </w:tc>
        <w:tc>
          <w:tcPr>
            <w:tcW w:w="200" w:type="dxa"/>
            <w:vAlign w:val="bottom"/>
          </w:tcPr>
          <w:p>
            <w:pPr>
              <w:spacing w:after="0"/>
              <w:rPr>
                <w:sz w:val="11"/>
                <w:szCs w:val="11"/>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91"/>
              </w:rPr>
              <w:t>Net Book</w:t>
            </w:r>
          </w:p>
        </w:tc>
        <w:tc>
          <w:tcPr>
            <w:tcW w:w="200" w:type="dxa"/>
            <w:vAlign w:val="bottom"/>
          </w:tcPr>
          <w:p>
            <w:pPr>
              <w:spacing w:after="0"/>
              <w:rPr>
                <w:sz w:val="11"/>
                <w:szCs w:val="11"/>
                <w:color w:val="auto"/>
              </w:rPr>
            </w:pPr>
          </w:p>
        </w:tc>
        <w:tc>
          <w:tcPr>
            <w:tcW w:w="1080" w:type="dxa"/>
            <w:vAlign w:val="bottom"/>
            <w:gridSpan w:val="2"/>
          </w:tcPr>
          <w:p>
            <w:pPr>
              <w:jc w:val="center"/>
              <w:ind w:right="340"/>
              <w:spacing w:after="0" w:line="136" w:lineRule="exact"/>
              <w:rPr>
                <w:sz w:val="20"/>
                <w:szCs w:val="20"/>
                <w:color w:val="auto"/>
              </w:rPr>
            </w:pPr>
            <w:r>
              <w:rPr>
                <w:rFonts w:ascii="Arial" w:cs="Arial" w:eastAsia="Arial" w:hAnsi="Arial"/>
                <w:sz w:val="13"/>
                <w:szCs w:val="13"/>
                <w:b w:val="1"/>
                <w:bCs w:val="1"/>
                <w:color w:val="auto"/>
                <w:w w:val="90"/>
              </w:rPr>
              <w:t>Gross</w:t>
            </w:r>
          </w:p>
        </w:tc>
        <w:tc>
          <w:tcPr>
            <w:tcW w:w="140" w:type="dxa"/>
            <w:vAlign w:val="bottom"/>
          </w:tcPr>
          <w:p>
            <w:pPr>
              <w:spacing w:after="0"/>
              <w:rPr>
                <w:sz w:val="11"/>
                <w:szCs w:val="11"/>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Accumulated</w:t>
            </w:r>
          </w:p>
        </w:tc>
        <w:tc>
          <w:tcPr>
            <w:tcW w:w="200" w:type="dxa"/>
            <w:vAlign w:val="bottom"/>
          </w:tcPr>
          <w:p>
            <w:pPr>
              <w:spacing w:after="0"/>
              <w:rPr>
                <w:sz w:val="11"/>
                <w:szCs w:val="11"/>
                <w:color w:val="auto"/>
              </w:rPr>
            </w:pPr>
          </w:p>
        </w:tc>
        <w:tc>
          <w:tcPr>
            <w:tcW w:w="960" w:type="dxa"/>
            <w:vAlign w:val="bottom"/>
            <w:vMerge w:val="restart"/>
          </w:tcPr>
          <w:p>
            <w:pPr>
              <w:jc w:val="right"/>
              <w:ind w:right="242"/>
              <w:spacing w:after="0"/>
              <w:rPr>
                <w:sz w:val="20"/>
                <w:szCs w:val="20"/>
                <w:color w:val="auto"/>
              </w:rPr>
            </w:pPr>
            <w:r>
              <w:rPr>
                <w:rFonts w:ascii="Arial" w:cs="Arial" w:eastAsia="Arial" w:hAnsi="Arial"/>
                <w:sz w:val="13"/>
                <w:szCs w:val="13"/>
                <w:b w:val="1"/>
                <w:bCs w:val="1"/>
                <w:color w:val="auto"/>
              </w:rPr>
              <w:t>Net Book</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rPr>
              <w:t>Carrying</w:t>
            </w:r>
          </w:p>
        </w:tc>
        <w:tc>
          <w:tcPr>
            <w:tcW w:w="12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rPr>
              <w:t>Carrying</w:t>
            </w: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440" w:type="dxa"/>
            <w:vAlign w:val="bottom"/>
          </w:tcPr>
          <w:p>
            <w:pPr>
              <w:spacing w:after="0"/>
              <w:rPr>
                <w:sz w:val="15"/>
                <w:szCs w:val="15"/>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6"/>
              </w:rPr>
              <w:t>Useful Life</w:t>
            </w:r>
          </w:p>
        </w:tc>
        <w:tc>
          <w:tcPr>
            <w:tcW w:w="200" w:type="dxa"/>
            <w:vAlign w:val="bottom"/>
          </w:tcPr>
          <w:p>
            <w:pPr>
              <w:spacing w:after="0"/>
              <w:rPr>
                <w:sz w:val="15"/>
                <w:szCs w:val="15"/>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3"/>
              </w:rPr>
              <w:t>Amount</w:t>
            </w:r>
          </w:p>
        </w:tc>
        <w:tc>
          <w:tcPr>
            <w:tcW w:w="12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Amortization</w:t>
            </w:r>
          </w:p>
        </w:tc>
        <w:tc>
          <w:tcPr>
            <w:tcW w:w="20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2"/>
              </w:rPr>
              <w:t>Value</w:t>
            </w:r>
          </w:p>
        </w:tc>
        <w:tc>
          <w:tcPr>
            <w:tcW w:w="20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7"/>
              </w:rPr>
              <w:t>Amount</w:t>
            </w:r>
          </w:p>
        </w:tc>
        <w:tc>
          <w:tcPr>
            <w:tcW w:w="140" w:type="dxa"/>
            <w:vAlign w:val="bottom"/>
          </w:tcPr>
          <w:p>
            <w:pPr>
              <w:spacing w:after="0"/>
              <w:rPr>
                <w:sz w:val="15"/>
                <w:szCs w:val="15"/>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b w:val="1"/>
                <w:bCs w:val="1"/>
                <w:color w:val="auto"/>
              </w:rPr>
              <w:t>Amortization</w:t>
            </w:r>
          </w:p>
        </w:tc>
        <w:tc>
          <w:tcPr>
            <w:tcW w:w="200" w:type="dxa"/>
            <w:vAlign w:val="bottom"/>
          </w:tcPr>
          <w:p>
            <w:pPr>
              <w:spacing w:after="0"/>
              <w:rPr>
                <w:sz w:val="15"/>
                <w:szCs w:val="15"/>
                <w:color w:val="auto"/>
              </w:rPr>
            </w:pPr>
          </w:p>
        </w:tc>
        <w:tc>
          <w:tcPr>
            <w:tcW w:w="960" w:type="dxa"/>
            <w:vAlign w:val="bottom"/>
          </w:tcPr>
          <w:p>
            <w:pPr>
              <w:jc w:val="right"/>
              <w:ind w:right="342"/>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193"/>
        </w:trPr>
        <w:tc>
          <w:tcPr>
            <w:tcW w:w="2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Intangible assets subject to</w:t>
            </w:r>
          </w:p>
        </w:tc>
        <w:tc>
          <w:tcPr>
            <w:tcW w:w="11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440" w:type="dxa"/>
            <w:vAlign w:val="bottom"/>
          </w:tcPr>
          <w:p>
            <w:pPr>
              <w:ind w:left="180"/>
              <w:spacing w:after="0"/>
              <w:rPr>
                <w:sz w:val="20"/>
                <w:szCs w:val="20"/>
                <w:color w:val="auto"/>
              </w:rPr>
            </w:pPr>
            <w:r>
              <w:rPr>
                <w:rFonts w:ascii="Arial" w:cs="Arial" w:eastAsia="Arial" w:hAnsi="Arial"/>
                <w:sz w:val="16"/>
                <w:szCs w:val="16"/>
                <w:color w:val="auto"/>
              </w:rPr>
              <w:t>Software and technology</w:t>
            </w:r>
          </w:p>
        </w:tc>
        <w:tc>
          <w:tcPr>
            <w:tcW w:w="126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3-5 years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95,909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(50,327)</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45,582</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101,588</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(63,225)</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38,363</w:t>
            </w:r>
          </w:p>
        </w:tc>
        <w:tc>
          <w:tcPr>
            <w:tcW w:w="0" w:type="dxa"/>
            <w:vAlign w:val="bottom"/>
          </w:tcPr>
          <w:p>
            <w:pPr>
              <w:spacing w:after="0"/>
              <w:rPr>
                <w:sz w:val="1"/>
                <w:szCs w:val="1"/>
                <w:color w:val="auto"/>
              </w:rPr>
            </w:pPr>
          </w:p>
        </w:tc>
      </w:tr>
      <w:tr>
        <w:trPr>
          <w:trHeight w:val="246"/>
        </w:trPr>
        <w:tc>
          <w:tcPr>
            <w:tcW w:w="2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Customer relationships</w:t>
            </w:r>
          </w:p>
        </w:tc>
        <w:tc>
          <w:tcPr>
            <w:tcW w:w="126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9"/>
              </w:rPr>
              <w:t>3-10 years</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324,657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(91,288)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233,369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245,325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(83,799)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161,526</w:t>
            </w:r>
          </w:p>
        </w:tc>
        <w:tc>
          <w:tcPr>
            <w:tcW w:w="0" w:type="dxa"/>
            <w:vAlign w:val="bottom"/>
          </w:tcPr>
          <w:p>
            <w:pPr>
              <w:spacing w:after="0"/>
              <w:rPr>
                <w:sz w:val="1"/>
                <w:szCs w:val="1"/>
                <w:color w:val="auto"/>
              </w:rPr>
            </w:pPr>
          </w:p>
        </w:tc>
      </w:tr>
      <w:tr>
        <w:trPr>
          <w:trHeight w:val="240"/>
        </w:trPr>
        <w:tc>
          <w:tcPr>
            <w:tcW w:w="2440" w:type="dxa"/>
            <w:vAlign w:val="bottom"/>
          </w:tcPr>
          <w:p>
            <w:pPr>
              <w:ind w:left="180"/>
              <w:spacing w:after="0"/>
              <w:rPr>
                <w:sz w:val="20"/>
                <w:szCs w:val="20"/>
                <w:color w:val="auto"/>
              </w:rPr>
            </w:pPr>
            <w:r>
              <w:rPr>
                <w:rFonts w:ascii="Arial" w:cs="Arial" w:eastAsia="Arial" w:hAnsi="Arial"/>
                <w:sz w:val="16"/>
                <w:szCs w:val="16"/>
                <w:color w:val="auto"/>
              </w:rPr>
              <w:t>Trademarks</w:t>
            </w:r>
          </w:p>
        </w:tc>
        <w:tc>
          <w:tcPr>
            <w:tcW w:w="126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3-10 years</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68,703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(22,422)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46,281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63,080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(20,893)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42,187</w:t>
            </w:r>
          </w:p>
        </w:tc>
        <w:tc>
          <w:tcPr>
            <w:tcW w:w="0" w:type="dxa"/>
            <w:vAlign w:val="bottom"/>
          </w:tcPr>
          <w:p>
            <w:pPr>
              <w:spacing w:after="0"/>
              <w:rPr>
                <w:sz w:val="1"/>
                <w:szCs w:val="1"/>
                <w:color w:val="auto"/>
              </w:rPr>
            </w:pPr>
          </w:p>
        </w:tc>
      </w:tr>
      <w:tr>
        <w:trPr>
          <w:trHeight w:val="243"/>
        </w:trPr>
        <w:tc>
          <w:tcPr>
            <w:tcW w:w="2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Non-compete agreements</w:t>
            </w: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7"/>
              </w:rPr>
              <w:t>5 years</w:t>
            </w: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194</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350</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09"/>
        </w:trPr>
        <w:tc>
          <w:tcPr>
            <w:tcW w:w="2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489,619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(164,193)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325,426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410,343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(168,056)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242,287</w:t>
            </w:r>
          </w:p>
        </w:tc>
        <w:tc>
          <w:tcPr>
            <w:tcW w:w="0" w:type="dxa"/>
            <w:vAlign w:val="bottom"/>
          </w:tcPr>
          <w:p>
            <w:pPr>
              <w:spacing w:after="0"/>
              <w:rPr>
                <w:sz w:val="1"/>
                <w:szCs w:val="1"/>
                <w:color w:val="auto"/>
              </w:rPr>
            </w:pPr>
          </w:p>
        </w:tc>
      </w:tr>
      <w:tr>
        <w:trPr>
          <w:trHeight w:val="209"/>
        </w:trPr>
        <w:tc>
          <w:tcPr>
            <w:tcW w:w="2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not subject to</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440" w:type="dxa"/>
            <w:vAlign w:val="bottom"/>
          </w:tcPr>
          <w:p>
            <w:pPr>
              <w:ind w:left="180"/>
              <w:spacing w:after="0"/>
              <w:rPr>
                <w:sz w:val="20"/>
                <w:szCs w:val="20"/>
                <w:color w:val="auto"/>
              </w:rPr>
            </w:pPr>
            <w:r>
              <w:rPr>
                <w:rFonts w:ascii="Arial" w:cs="Arial" w:eastAsia="Arial" w:hAnsi="Arial"/>
                <w:sz w:val="16"/>
                <w:szCs w:val="16"/>
                <w:color w:val="auto"/>
              </w:rPr>
              <w:t>In-process research and</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440" w:type="dxa"/>
            <w:vAlign w:val="bottom"/>
          </w:tcPr>
          <w:p>
            <w:pPr>
              <w:ind w:left="360"/>
              <w:spacing w:after="0"/>
              <w:rPr>
                <w:sz w:val="20"/>
                <w:szCs w:val="20"/>
                <w:color w:val="auto"/>
              </w:rPr>
            </w:pPr>
            <w:r>
              <w:rPr>
                <w:rFonts w:ascii="Arial" w:cs="Arial" w:eastAsia="Arial" w:hAnsi="Arial"/>
                <w:sz w:val="16"/>
                <w:szCs w:val="16"/>
                <w:color w:val="auto"/>
              </w:rPr>
              <w:t>development</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3,603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3,603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3,547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3,547</w:t>
            </w:r>
          </w:p>
        </w:tc>
        <w:tc>
          <w:tcPr>
            <w:tcW w:w="0" w:type="dxa"/>
            <w:vAlign w:val="bottom"/>
          </w:tcPr>
          <w:p>
            <w:pPr>
              <w:spacing w:after="0"/>
              <w:rPr>
                <w:sz w:val="1"/>
                <w:szCs w:val="1"/>
                <w:color w:val="auto"/>
              </w:rPr>
            </w:pPr>
          </w:p>
        </w:tc>
      </w:tr>
      <w:tr>
        <w:trPr>
          <w:trHeight w:val="238"/>
        </w:trPr>
        <w:tc>
          <w:tcPr>
            <w:tcW w:w="2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intangible assets</w:t>
            </w:r>
          </w:p>
        </w:tc>
        <w:tc>
          <w:tcPr>
            <w:tcW w:w="11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493,222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(164,193)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329,029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413,890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(168,056)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245,834</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aggregate amortization expense for purchased intangible assets with finite lives was reflected in the Company’s consolidated statements of operations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gridSpan w:val="5"/>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6"/>
                <w:szCs w:val="16"/>
                <w:b w:val="1"/>
                <w:bCs w:val="1"/>
                <w:color w:val="auto"/>
              </w:rPr>
              <w:t>March 31,</w:t>
            </w: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1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2"/>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w w:val="89"/>
              </w:rPr>
              <w:t>2021</w:t>
            </w:r>
          </w:p>
        </w:tc>
        <w:tc>
          <w:tcPr>
            <w:tcW w:w="0" w:type="dxa"/>
            <w:vAlign w:val="bottom"/>
          </w:tcPr>
          <w:p>
            <w:pPr>
              <w:spacing w:after="0"/>
              <w:rPr>
                <w:sz w:val="1"/>
                <w:szCs w:val="1"/>
                <w:color w:val="auto"/>
              </w:rPr>
            </w:pPr>
          </w:p>
        </w:tc>
      </w:tr>
      <w:tr>
        <w:trPr>
          <w:trHeight w:val="226"/>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subscriptions and licenses</w:t>
            </w:r>
          </w:p>
        </w:tc>
        <w:tc>
          <w:tcPr>
            <w:tcW w:w="7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3,022</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30"/>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purchased intangibles</w:t>
            </w:r>
          </w:p>
        </w:tc>
        <w:tc>
          <w:tcPr>
            <w:tcW w:w="7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9,906</w:t>
            </w:r>
          </w:p>
        </w:tc>
        <w:tc>
          <w:tcPr>
            <w:tcW w:w="26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3,438</w:t>
            </w:r>
          </w:p>
        </w:tc>
        <w:tc>
          <w:tcPr>
            <w:tcW w:w="0" w:type="dxa"/>
            <w:vAlign w:val="bottom"/>
          </w:tcPr>
          <w:p>
            <w:pPr>
              <w:spacing w:after="0"/>
              <w:rPr>
                <w:sz w:val="1"/>
                <w:szCs w:val="1"/>
                <w:color w:val="auto"/>
              </w:rPr>
            </w:pP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amortization expense</w:t>
            </w:r>
          </w:p>
        </w:tc>
        <w:tc>
          <w:tcPr>
            <w:tcW w:w="7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12,928</w:t>
            </w:r>
          </w:p>
        </w:tc>
        <w:tc>
          <w:tcPr>
            <w:tcW w:w="2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4,589</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7: Investments</w:t>
            </w:r>
          </w:p>
        </w:tc>
        <w:tc>
          <w:tcPr>
            <w:tcW w:w="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71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100" w:type="dxa"/>
            <w:vAlign w:val="bottom"/>
          </w:tcPr>
          <w:p>
            <w:pPr>
              <w:spacing w:after="0"/>
              <w:rPr>
                <w:sz w:val="20"/>
                <w:szCs w:val="20"/>
                <w:color w:val="auto"/>
              </w:rPr>
            </w:pPr>
            <w:r>
              <w:rPr>
                <w:rFonts w:ascii="Arial" w:cs="Arial" w:eastAsia="Arial" w:hAnsi="Arial"/>
                <w:sz w:val="18"/>
                <w:szCs w:val="18"/>
                <w:color w:val="auto"/>
              </w:rPr>
              <w:t>Investments consist of the following:</w:t>
            </w: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7100" w:type="dxa"/>
            <w:vAlign w:val="bottom"/>
            <w:tcBorders>
              <w:bottom w:val="single" w:sz="8" w:color="CCEEFF"/>
            </w:tcBorders>
          </w:tcPr>
          <w:p>
            <w:pPr>
              <w:spacing w:after="0"/>
              <w:rPr>
                <w:sz w:val="24"/>
                <w:szCs w:val="24"/>
                <w:color w:val="auto"/>
              </w:rPr>
            </w:pPr>
          </w:p>
        </w:tc>
        <w:tc>
          <w:tcPr>
            <w:tcW w:w="1940" w:type="dxa"/>
            <w:vAlign w:val="bottom"/>
            <w:tcBorders>
              <w:bottom w:val="single" w:sz="8" w:color="auto"/>
            </w:tcBorders>
            <w:gridSpan w:val="3"/>
          </w:tcPr>
          <w:p>
            <w:pPr>
              <w:jc w:val="right"/>
              <w:ind w:right="352"/>
              <w:spacing w:after="0"/>
              <w:rPr>
                <w:sz w:val="20"/>
                <w:szCs w:val="20"/>
                <w:color w:val="auto"/>
              </w:rPr>
            </w:pPr>
            <w:r>
              <w:rPr>
                <w:rFonts w:ascii="Arial" w:cs="Arial" w:eastAsia="Arial" w:hAnsi="Arial"/>
                <w:sz w:val="16"/>
                <w:szCs w:val="16"/>
                <w:b w:val="1"/>
                <w:bCs w:val="1"/>
                <w:color w:val="auto"/>
              </w:rPr>
              <w:t>March 31, 2022</w:t>
            </w:r>
          </w:p>
        </w:tc>
        <w:tc>
          <w:tcPr>
            <w:tcW w:w="26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ind w:right="231"/>
              <w:spacing w:after="0"/>
              <w:rPr>
                <w:sz w:val="20"/>
                <w:szCs w:val="20"/>
                <w:color w:val="auto"/>
              </w:rPr>
            </w:pPr>
            <w:r>
              <w:rPr>
                <w:rFonts w:ascii="Arial" w:cs="Arial" w:eastAsia="Arial" w:hAnsi="Arial"/>
                <w:sz w:val="16"/>
                <w:szCs w:val="16"/>
                <w:b w:val="1"/>
                <w:bCs w:val="1"/>
                <w:color w:val="auto"/>
              </w:rPr>
              <w:t>December 31, 2021</w:t>
            </w:r>
          </w:p>
        </w:tc>
        <w:tc>
          <w:tcPr>
            <w:tcW w:w="0" w:type="dxa"/>
            <w:vAlign w:val="bottom"/>
          </w:tcPr>
          <w:p>
            <w:pPr>
              <w:spacing w:after="0"/>
              <w:rPr>
                <w:sz w:val="1"/>
                <w:szCs w:val="1"/>
                <w:color w:val="auto"/>
              </w:rPr>
            </w:pPr>
          </w:p>
        </w:tc>
      </w:tr>
      <w:tr>
        <w:trPr>
          <w:trHeight w:val="226"/>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method investments</w:t>
            </w:r>
          </w:p>
        </w:tc>
        <w:tc>
          <w:tcPr>
            <w:tcW w:w="760" w:type="dxa"/>
            <w:vAlign w:val="bottom"/>
            <w:shd w:val="clear" w:color="auto" w:fill="CCEEFF"/>
          </w:tcPr>
          <w:p>
            <w:pPr>
              <w:jc w:val="right"/>
              <w:ind w:right="573"/>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8,538</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6,438</w:t>
            </w:r>
          </w:p>
        </w:tc>
        <w:tc>
          <w:tcPr>
            <w:tcW w:w="0" w:type="dxa"/>
            <w:vAlign w:val="bottom"/>
          </w:tcPr>
          <w:p>
            <w:pPr>
              <w:spacing w:after="0"/>
              <w:rPr>
                <w:sz w:val="1"/>
                <w:szCs w:val="1"/>
                <w:color w:val="auto"/>
              </w:rPr>
            </w:pPr>
          </w:p>
        </w:tc>
      </w:tr>
      <w:tr>
        <w:trPr>
          <w:trHeight w:val="230"/>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method investment</w:t>
            </w:r>
          </w:p>
        </w:tc>
        <w:tc>
          <w:tcPr>
            <w:tcW w:w="7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760" w:type="dxa"/>
            <w:vAlign w:val="bottom"/>
            <w:tcBorders>
              <w:bottom w:val="single" w:sz="8" w:color="auto"/>
            </w:tcBorders>
            <w:shd w:val="clear" w:color="auto" w:fill="CCEEFF"/>
          </w:tcPr>
          <w:p>
            <w:pPr>
              <w:jc w:val="right"/>
              <w:ind w:right="573"/>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8,680</w:t>
            </w: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6,438</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Through </w:t>
      </w:r>
      <w:r>
        <w:rPr>
          <w:rFonts w:ascii="Arial" w:cs="Arial" w:eastAsia="Arial" w:hAnsi="Arial"/>
          <w:sz w:val="18"/>
          <w:szCs w:val="18"/>
          <w:i w:val="1"/>
          <w:iCs w:val="1"/>
          <w:color w:val="auto"/>
        </w:rPr>
        <w:t>iTwin Ventures</w:t>
      </w:r>
      <w:r>
        <w:rPr>
          <w:rFonts w:ascii="Arial" w:cs="Arial" w:eastAsia="Arial" w:hAnsi="Arial"/>
          <w:sz w:val="18"/>
          <w:szCs w:val="18"/>
          <w:color w:val="auto"/>
        </w:rPr>
        <w:t>, the Company invests in technology development companies, generally in the form of equity interests or convertible notes. The Company recorded these investments under the cost method. For the three months ended March 31, 2022, the Company invested $2,111 in cost method investments.</w:t>
      </w:r>
    </w:p>
    <w:p>
      <w:pPr>
        <w:spacing w:after="0" w:line="184"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The Company accounts for Digital Construction Works, Inc. (“DCW”) using the equity method. DCW, a 50%-owned joint venture with Topcon Positioning Systems, Inc., operates as a digital integrator of software and cloud services for the construction industry. DCW’s focus is to transform the construction industry from its legacy document</w:t>
      </w:r>
      <w:r>
        <w:rPr>
          <w:rFonts w:ascii="MS PGothic" w:cs="MS PGothic" w:eastAsia="MS PGothic" w:hAnsi="MS PGothic"/>
          <w:sz w:val="17"/>
          <w:szCs w:val="17"/>
          <w:color w:val="auto"/>
        </w:rPr>
        <w:t>‑</w:t>
      </w:r>
      <w:r>
        <w:rPr>
          <w:rFonts w:ascii="Arial" w:cs="Arial" w:eastAsia="Arial" w:hAnsi="Arial"/>
          <w:sz w:val="17"/>
          <w:szCs w:val="17"/>
          <w:color w:val="auto"/>
        </w:rPr>
        <w:t xml:space="preserve">centric paradigm by simplifying and enabling digital automated workflows and processes, technology integration, and digital twinning services for infrastructure. For the three months ended March 31, 2022, the Company invested $700 in DCW. Pursuant to FASB ASC Topic 850, </w:t>
      </w:r>
      <w:r>
        <w:rPr>
          <w:rFonts w:ascii="Arial" w:cs="Arial" w:eastAsia="Arial" w:hAnsi="Arial"/>
          <w:sz w:val="17"/>
          <w:szCs w:val="17"/>
          <w:i w:val="1"/>
          <w:iCs w:val="1"/>
          <w:color w:val="auto"/>
        </w:rPr>
        <w:t>Related Party Disclosures</w:t>
      </w:r>
      <w:r>
        <w:rPr>
          <w:rFonts w:ascii="Arial" w:cs="Arial" w:eastAsia="Arial" w:hAnsi="Arial"/>
          <w:sz w:val="17"/>
          <w:szCs w:val="17"/>
          <w:color w:val="auto"/>
        </w:rPr>
        <w:t>, the Company has determined that DCW is a related party. For the three months ended March 31, 2022, transactions between the Company and DCW were not material to the Company’s consolidated financial statements.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9" w:name="page20"/>
    <w:bookmarkEnd w:id="19"/>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Leases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operating leases consist of office facilities, office equipment, and automobiles, and the Company’s finance lease consists of computer equipment. The finance lease is not material for the periods presented. As of March 31, 2022, the Company’s leases have remaining terms of less than one year to nine years, some of which include one or more options to renew, with renewal terms from one year to ten years and some of which include options to terminate the leases from less than one year to five years.</w:t>
      </w:r>
    </w:p>
    <w:p>
      <w:pPr>
        <w:spacing w:after="0" w:line="187"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For contracts with lease and non</w:t>
      </w:r>
      <w:r>
        <w:rPr>
          <w:rFonts w:ascii="MS PGothic" w:cs="MS PGothic" w:eastAsia="MS PGothic" w:hAnsi="MS PGothic"/>
          <w:sz w:val="17"/>
          <w:szCs w:val="17"/>
          <w:color w:val="auto"/>
        </w:rPr>
        <w:t>‑</w:t>
      </w:r>
      <w:r>
        <w:rPr>
          <w:rFonts w:ascii="Arial" w:cs="Arial" w:eastAsia="Arial" w:hAnsi="Arial"/>
          <w:sz w:val="17"/>
          <w:szCs w:val="17"/>
          <w:color w:val="auto"/>
        </w:rPr>
        <w:t>lease components, the Company has elected not to allocate the contract consideration, and account for the lease and non-lease components as a single lease component. Payments under the Company’s lease arrangements are primarily fixed, however, certain lease agreements contain variable payments, which are expensed as incurred and not included in the operating lease assets and liabilities. Variable lease cost may include common area maintenance, property taxes, utilities, and fluctuations in rent due to a change in an index or rate. The Company has elected not to recognize a right</w:t>
      </w:r>
      <w:r>
        <w:rPr>
          <w:rFonts w:ascii="MS PGothic" w:cs="MS PGothic" w:eastAsia="MS PGothic" w:hAnsi="MS PGothic"/>
          <w:sz w:val="17"/>
          <w:szCs w:val="17"/>
          <w:color w:val="auto"/>
        </w:rPr>
        <w:t>‑</w:t>
      </w:r>
      <w:r>
        <w:rPr>
          <w:rFonts w:ascii="Arial" w:cs="Arial" w:eastAsia="Arial" w:hAnsi="Arial"/>
          <w:sz w:val="17"/>
          <w:szCs w:val="17"/>
          <w:color w:val="auto"/>
        </w:rPr>
        <w:t>of</w:t>
      </w:r>
      <w:r>
        <w:rPr>
          <w:rFonts w:ascii="MS PGothic" w:cs="MS PGothic" w:eastAsia="MS PGothic" w:hAnsi="MS PGothic"/>
          <w:sz w:val="17"/>
          <w:szCs w:val="17"/>
          <w:color w:val="auto"/>
        </w:rPr>
        <w:t>‑</w:t>
      </w:r>
      <w:r>
        <w:rPr>
          <w:rFonts w:ascii="Arial" w:cs="Arial" w:eastAsia="Arial" w:hAnsi="Arial"/>
          <w:sz w:val="17"/>
          <w:szCs w:val="17"/>
          <w:color w:val="auto"/>
        </w:rPr>
        <w:t>use asset or lease liability for short</w:t>
      </w:r>
      <w:r>
        <w:rPr>
          <w:rFonts w:ascii="MS PGothic" w:cs="MS PGothic" w:eastAsia="MS PGothic" w:hAnsi="MS PGothic"/>
          <w:sz w:val="17"/>
          <w:szCs w:val="17"/>
          <w:color w:val="auto"/>
        </w:rPr>
        <w:t>‑</w:t>
      </w:r>
      <w:r>
        <w:rPr>
          <w:rFonts w:ascii="Arial" w:cs="Arial" w:eastAsia="Arial" w:hAnsi="Arial"/>
          <w:sz w:val="17"/>
          <w:szCs w:val="17"/>
          <w:color w:val="auto"/>
        </w:rPr>
        <w:t>term leases (leases with a term of twelve months or less). Short</w:t>
      </w:r>
      <w:r>
        <w:rPr>
          <w:rFonts w:ascii="MS PGothic" w:cs="MS PGothic" w:eastAsia="MS PGothic" w:hAnsi="MS PGothic"/>
          <w:sz w:val="17"/>
          <w:szCs w:val="17"/>
          <w:color w:val="auto"/>
        </w:rPr>
        <w:t>‑</w:t>
      </w:r>
      <w:r>
        <w:rPr>
          <w:rFonts w:ascii="Arial" w:cs="Arial" w:eastAsia="Arial" w:hAnsi="Arial"/>
          <w:sz w:val="17"/>
          <w:szCs w:val="17"/>
          <w:color w:val="auto"/>
        </w:rPr>
        <w:t>term leases are recognized in the consolidated statements of operations on a straight</w:t>
      </w:r>
      <w:r>
        <w:rPr>
          <w:rFonts w:ascii="MS PGothic" w:cs="MS PGothic" w:eastAsia="MS PGothic" w:hAnsi="MS PGothic"/>
          <w:sz w:val="17"/>
          <w:szCs w:val="17"/>
          <w:color w:val="auto"/>
        </w:rPr>
        <w:t>‑</w:t>
      </w:r>
      <w:r>
        <w:rPr>
          <w:rFonts w:ascii="Arial" w:cs="Arial" w:eastAsia="Arial" w:hAnsi="Arial"/>
          <w:sz w:val="17"/>
          <w:szCs w:val="17"/>
          <w:color w:val="auto"/>
        </w:rPr>
        <w:t>line basis over the lease term.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operating lease cost reflected in the consolidated statements of operations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w w:val="92"/>
              </w:rPr>
              <w:t>Three Months Ended</w:t>
            </w:r>
          </w:p>
        </w:tc>
        <w:tc>
          <w:tcPr>
            <w:tcW w:w="960" w:type="dxa"/>
            <w:vAlign w:val="bottom"/>
          </w:tcPr>
          <w:p>
            <w:pPr>
              <w:spacing w:after="0"/>
              <w:rPr>
                <w:sz w:val="18"/>
                <w:szCs w:val="18"/>
                <w:color w:val="auto"/>
              </w:rPr>
            </w:pPr>
          </w:p>
        </w:tc>
      </w:tr>
      <w:tr>
        <w:trPr>
          <w:trHeight w:val="219"/>
        </w:trPr>
        <w:tc>
          <w:tcPr>
            <w:tcW w:w="300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6"/>
                <w:szCs w:val="16"/>
                <w:b w:val="1"/>
                <w:bCs w:val="1"/>
                <w:color w:val="auto"/>
              </w:rPr>
              <w:t>March 31,</w:t>
            </w:r>
          </w:p>
        </w:tc>
        <w:tc>
          <w:tcPr>
            <w:tcW w:w="960" w:type="dxa"/>
            <w:vAlign w:val="bottom"/>
            <w:tcBorders>
              <w:bottom w:val="single" w:sz="8" w:color="auto"/>
            </w:tcBorders>
          </w:tcPr>
          <w:p>
            <w:pPr>
              <w:spacing w:after="0"/>
              <w:rPr>
                <w:sz w:val="19"/>
                <w:szCs w:val="19"/>
                <w:color w:val="auto"/>
              </w:rPr>
            </w:pPr>
          </w:p>
        </w:tc>
      </w:tr>
      <w:tr>
        <w:trPr>
          <w:trHeight w:val="210"/>
        </w:trPr>
        <w:tc>
          <w:tcPr>
            <w:tcW w:w="3000" w:type="dxa"/>
            <w:vAlign w:val="bottom"/>
            <w:tcBorders>
              <w:bottom w:val="single" w:sz="8" w:color="CCEEFF"/>
            </w:tcBorders>
          </w:tcPr>
          <w:p>
            <w:pPr>
              <w:spacing w:after="0"/>
              <w:rPr>
                <w:sz w:val="18"/>
                <w:szCs w:val="18"/>
                <w:color w:val="auto"/>
              </w:rPr>
            </w:pPr>
          </w:p>
        </w:tc>
        <w:tc>
          <w:tcPr>
            <w:tcW w:w="48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2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w w:val="89"/>
              </w:rPr>
              <w:t>2021</w:t>
            </w:r>
          </w:p>
        </w:tc>
      </w:tr>
      <w:tr>
        <w:trPr>
          <w:trHeight w:val="226"/>
        </w:trPr>
        <w:tc>
          <w:tcPr>
            <w:tcW w:w="786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Operating lease cost </w:t>
            </w:r>
            <w:r>
              <w:rPr>
                <w:rFonts w:ascii="Arial" w:cs="Arial" w:eastAsia="Arial" w:hAnsi="Arial"/>
                <w:sz w:val="23"/>
                <w:szCs w:val="23"/>
                <w:color w:val="auto"/>
                <w:vertAlign w:val="superscript"/>
              </w:rPr>
              <w:t>(1)</w:t>
            </w:r>
          </w:p>
        </w:tc>
        <w:tc>
          <w:tcPr>
            <w:tcW w:w="940" w:type="dxa"/>
            <w:vAlign w:val="bottom"/>
            <w:shd w:val="clear" w:color="auto" w:fill="CCEEFF"/>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5,753</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4,543</w:t>
            </w:r>
          </w:p>
        </w:tc>
      </w:tr>
      <w:tr>
        <w:trPr>
          <w:trHeight w:val="229"/>
        </w:trPr>
        <w:tc>
          <w:tcPr>
            <w:tcW w:w="7860" w:type="dxa"/>
            <w:vAlign w:val="bottom"/>
            <w:gridSpan w:val="2"/>
          </w:tcPr>
          <w:p>
            <w:pPr>
              <w:ind w:left="20"/>
              <w:spacing w:after="0"/>
              <w:rPr>
                <w:sz w:val="20"/>
                <w:szCs w:val="20"/>
                <w:color w:val="auto"/>
              </w:rPr>
            </w:pPr>
            <w:r>
              <w:rPr>
                <w:rFonts w:ascii="Arial" w:cs="Arial" w:eastAsia="Arial" w:hAnsi="Arial"/>
                <w:sz w:val="18"/>
                <w:szCs w:val="18"/>
                <w:color w:val="auto"/>
              </w:rPr>
              <w:t>Variable lease cost</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1,273</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968</w:t>
            </w:r>
          </w:p>
        </w:tc>
      </w:tr>
      <w:tr>
        <w:trPr>
          <w:trHeight w:val="229"/>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7860" w:type="dxa"/>
            <w:vAlign w:val="bottom"/>
            <w:gridSpan w:val="2"/>
          </w:tcPr>
          <w:p>
            <w:pPr>
              <w:ind w:left="20"/>
              <w:spacing w:after="0"/>
              <w:rPr>
                <w:sz w:val="20"/>
                <w:szCs w:val="20"/>
                <w:color w:val="auto"/>
              </w:rPr>
            </w:pPr>
            <w:r>
              <w:rPr>
                <w:rFonts w:ascii="Arial" w:cs="Arial" w:eastAsia="Arial" w:hAnsi="Arial"/>
                <w:sz w:val="18"/>
                <w:szCs w:val="18"/>
                <w:color w:val="auto"/>
              </w:rPr>
              <w:t>Total operating lease cost</w:t>
            </w:r>
          </w:p>
        </w:tc>
        <w:tc>
          <w:tcPr>
            <w:tcW w:w="940" w:type="dxa"/>
            <w:vAlign w:val="bottom"/>
            <w:tcBorders>
              <w:bottom w:val="single" w:sz="8" w:color="auto"/>
            </w:tcBorders>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7,031</w:t>
            </w:r>
          </w:p>
        </w:tc>
        <w:tc>
          <w:tcPr>
            <w:tcW w:w="26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5,515</w:t>
            </w:r>
          </w:p>
        </w:tc>
      </w:tr>
      <w:tr>
        <w:trPr>
          <w:trHeight w:val="20"/>
        </w:trPr>
        <w:tc>
          <w:tcPr>
            <w:tcW w:w="30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3"/>
        </w:trPr>
        <w:tc>
          <w:tcPr>
            <w:tcW w:w="3000" w:type="dxa"/>
            <w:vAlign w:val="bottom"/>
            <w:tcBorders>
              <w:bottom w:val="single" w:sz="8" w:color="auto"/>
            </w:tcBorders>
          </w:tcPr>
          <w:p>
            <w:pPr>
              <w:spacing w:after="0"/>
              <w:rPr>
                <w:sz w:val="15"/>
                <w:szCs w:val="15"/>
                <w:color w:val="auto"/>
              </w:rPr>
            </w:pPr>
          </w:p>
        </w:tc>
        <w:tc>
          <w:tcPr>
            <w:tcW w:w="4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r>
    </w:tbl>
    <w:p>
      <w:pPr>
        <w:spacing w:after="0" w:line="121" w:lineRule="exact"/>
        <w:rPr>
          <w:sz w:val="20"/>
          <w:szCs w:val="20"/>
          <w:color w:val="auto"/>
        </w:rPr>
      </w:pPr>
    </w:p>
    <w:p>
      <w:pPr>
        <w:ind w:left="340" w:hanging="332"/>
        <w:spacing w:after="0" w:line="277" w:lineRule="auto"/>
        <w:tabs>
          <w:tab w:leader="none" w:pos="334"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lease cost includes rent cost related to operating leases for office facilities of $5,553 and $4,351 for the three months ended March 31, 2022 and 2021,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Other information related to leases </w:t>
      </w:r>
      <w:r>
        <w:rPr>
          <w:rFonts w:ascii="Arial" w:cs="Arial" w:eastAsia="Arial" w:hAnsi="Arial"/>
          <w:sz w:val="18"/>
          <w:szCs w:val="18"/>
          <w:color w:val="212529"/>
        </w:rPr>
        <w:t>was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w w:val="92"/>
              </w:rPr>
              <w:t>Three Months Ended</w:t>
            </w:r>
          </w:p>
        </w:tc>
        <w:tc>
          <w:tcPr>
            <w:tcW w:w="960" w:type="dxa"/>
            <w:vAlign w:val="bottom"/>
          </w:tcPr>
          <w:p>
            <w:pPr>
              <w:spacing w:after="0"/>
              <w:rPr>
                <w:sz w:val="18"/>
                <w:szCs w:val="18"/>
                <w:color w:val="auto"/>
              </w:rPr>
            </w:pPr>
          </w:p>
        </w:tc>
      </w:tr>
      <w:tr>
        <w:trPr>
          <w:trHeight w:val="219"/>
        </w:trPr>
        <w:tc>
          <w:tcPr>
            <w:tcW w:w="300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6"/>
                <w:szCs w:val="16"/>
                <w:b w:val="1"/>
                <w:bCs w:val="1"/>
                <w:color w:val="auto"/>
              </w:rPr>
              <w:t>March 31,</w:t>
            </w:r>
          </w:p>
        </w:tc>
        <w:tc>
          <w:tcPr>
            <w:tcW w:w="960" w:type="dxa"/>
            <w:vAlign w:val="bottom"/>
            <w:tcBorders>
              <w:bottom w:val="single" w:sz="8" w:color="auto"/>
            </w:tcBorders>
          </w:tcPr>
          <w:p>
            <w:pPr>
              <w:spacing w:after="0"/>
              <w:rPr>
                <w:sz w:val="19"/>
                <w:szCs w:val="19"/>
                <w:color w:val="auto"/>
              </w:rPr>
            </w:pPr>
          </w:p>
        </w:tc>
      </w:tr>
      <w:tr>
        <w:trPr>
          <w:trHeight w:val="210"/>
        </w:trPr>
        <w:tc>
          <w:tcPr>
            <w:tcW w:w="3000" w:type="dxa"/>
            <w:vAlign w:val="bottom"/>
            <w:tcBorders>
              <w:bottom w:val="single" w:sz="8" w:color="CCEEFF"/>
            </w:tcBorders>
          </w:tcPr>
          <w:p>
            <w:pPr>
              <w:spacing w:after="0"/>
              <w:rPr>
                <w:sz w:val="18"/>
                <w:szCs w:val="18"/>
                <w:color w:val="auto"/>
              </w:rPr>
            </w:pPr>
          </w:p>
        </w:tc>
        <w:tc>
          <w:tcPr>
            <w:tcW w:w="48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2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w w:val="89"/>
              </w:rPr>
              <w:t>2021</w:t>
            </w:r>
          </w:p>
        </w:tc>
      </w:tr>
      <w:tr>
        <w:trPr>
          <w:trHeight w:val="212"/>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70"/>
        </w:trPr>
        <w:tc>
          <w:tcPr>
            <w:tcW w:w="7860" w:type="dxa"/>
            <w:vAlign w:val="bottom"/>
            <w:gridSpan w:val="2"/>
          </w:tcPr>
          <w:p>
            <w:pPr>
              <w:ind w:left="180"/>
              <w:spacing w:after="0"/>
              <w:rPr>
                <w:sz w:val="20"/>
                <w:szCs w:val="20"/>
                <w:color w:val="auto"/>
              </w:rPr>
            </w:pPr>
            <w:r>
              <w:rPr>
                <w:rFonts w:ascii="Arial" w:cs="Arial" w:eastAsia="Arial" w:hAnsi="Arial"/>
                <w:sz w:val="18"/>
                <w:szCs w:val="18"/>
                <w:color w:val="auto"/>
              </w:rPr>
              <w:t>Operating cash flows from operating leases</w:t>
            </w:r>
          </w:p>
        </w:tc>
        <w:tc>
          <w:tcPr>
            <w:tcW w:w="940" w:type="dxa"/>
            <w:vAlign w:val="bottom"/>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5,114</w:t>
            </w:r>
          </w:p>
        </w:tc>
        <w:tc>
          <w:tcPr>
            <w:tcW w:w="260" w:type="dxa"/>
            <w:vAlign w:val="bottom"/>
          </w:tcPr>
          <w:p>
            <w:pPr>
              <w:spacing w:after="0"/>
              <w:rPr>
                <w:sz w:val="23"/>
                <w:szCs w:val="23"/>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4,686</w:t>
            </w:r>
          </w:p>
        </w:tc>
      </w:tr>
      <w:tr>
        <w:trPr>
          <w:trHeight w:val="230"/>
        </w:trPr>
        <w:tc>
          <w:tcPr>
            <w:tcW w:w="78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Right-of-use assets obtained in exchange for new operating lease liabilities </w:t>
            </w:r>
            <w:r>
              <w:rPr>
                <w:rFonts w:ascii="Arial" w:cs="Arial" w:eastAsia="Arial" w:hAnsi="Arial"/>
                <w:sz w:val="23"/>
                <w:szCs w:val="23"/>
                <w:color w:val="auto"/>
                <w:vertAlign w:val="superscript"/>
              </w:rPr>
              <w:t>(1)</w:t>
            </w:r>
          </w:p>
        </w:tc>
        <w:tc>
          <w:tcPr>
            <w:tcW w:w="940" w:type="dxa"/>
            <w:vAlign w:val="bottom"/>
            <w:shd w:val="clear" w:color="auto" w:fill="CCEEFF"/>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r>
      <w:tr>
        <w:trPr>
          <w:trHeight w:val="216"/>
        </w:trPr>
        <w:tc>
          <w:tcPr>
            <w:tcW w:w="3000" w:type="dxa"/>
            <w:vAlign w:val="bottom"/>
            <w:tcBorders>
              <w:bottom w:val="single" w:sz="8" w:color="auto"/>
            </w:tcBorders>
          </w:tcPr>
          <w:p>
            <w:pPr>
              <w:spacing w:after="0"/>
              <w:rPr>
                <w:sz w:val="18"/>
                <w:szCs w:val="18"/>
                <w:color w:val="auto"/>
              </w:rPr>
            </w:pPr>
          </w:p>
        </w:tc>
        <w:tc>
          <w:tcPr>
            <w:tcW w:w="4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r>
    </w:tbl>
    <w:p>
      <w:pPr>
        <w:spacing w:after="0" w:line="134" w:lineRule="exact"/>
        <w:rPr>
          <w:sz w:val="20"/>
          <w:szCs w:val="20"/>
          <w:color w:val="auto"/>
        </w:rPr>
      </w:pPr>
    </w:p>
    <w:p>
      <w:pPr>
        <w:ind w:left="340" w:hanging="332"/>
        <w:spacing w:after="0" w:line="223" w:lineRule="exact"/>
        <w:tabs>
          <w:tab w:leader="none" w:pos="334" w:val="left"/>
        </w:tabs>
        <w:numPr>
          <w:ilvl w:val="0"/>
          <w:numId w:val="8"/>
        </w:numPr>
        <w:rPr>
          <w:rFonts w:ascii="Arial" w:cs="Arial" w:eastAsia="Arial" w:hAnsi="Arial"/>
          <w:sz w:val="18"/>
          <w:szCs w:val="18"/>
          <w:color w:val="auto"/>
        </w:rPr>
      </w:pPr>
      <w:r>
        <w:rPr>
          <w:rFonts w:ascii="Arial" w:cs="Arial" w:eastAsia="Arial" w:hAnsi="Arial"/>
          <w:sz w:val="18"/>
          <w:szCs w:val="18"/>
          <w:color w:val="auto"/>
        </w:rPr>
        <w:t>Right</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use assets obtained in exchange for new operating lease liabilities does not include the impact from acquisitions of $1,237 and $192 for the three months ended March 31, 2022 and 2021, respectively.</w:t>
      </w:r>
    </w:p>
    <w:p>
      <w:pPr>
        <w:spacing w:after="0" w:line="2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weighted average remaining lease term for operating leases was 4.1 years as of March 31, 2022 and December 31, 2021. The weighted average discount rate was 2.6% and 2.5% as of March 31, 2022 and December 31,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Maturities of operating lease liabilities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3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March 31, 2022</w:t>
            </w:r>
          </w:p>
        </w:tc>
      </w:tr>
      <w:tr>
        <w:trPr>
          <w:trHeight w:val="226"/>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14,267</w:t>
            </w:r>
          </w:p>
        </w:tc>
      </w:tr>
      <w:tr>
        <w:trPr>
          <w:trHeight w:val="230"/>
        </w:trPr>
        <w:tc>
          <w:tcPr>
            <w:tcW w:w="9300" w:type="dxa"/>
            <w:vAlign w:val="bottom"/>
          </w:tcPr>
          <w:p>
            <w:pPr>
              <w:ind w:left="20"/>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14,311</w:t>
            </w:r>
          </w:p>
        </w:tc>
      </w:tr>
      <w:tr>
        <w:trPr>
          <w:trHeight w:val="229"/>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9,624</w:t>
            </w:r>
          </w:p>
        </w:tc>
      </w:tr>
      <w:tr>
        <w:trPr>
          <w:trHeight w:val="230"/>
        </w:trPr>
        <w:tc>
          <w:tcPr>
            <w:tcW w:w="9300" w:type="dxa"/>
            <w:vAlign w:val="bottom"/>
          </w:tcPr>
          <w:p>
            <w:pPr>
              <w:ind w:left="20"/>
              <w:spacing w:after="0"/>
              <w:rPr>
                <w:sz w:val="20"/>
                <w:szCs w:val="20"/>
                <w:color w:val="auto"/>
              </w:rPr>
            </w:pPr>
            <w:r>
              <w:rPr>
                <w:rFonts w:ascii="Arial" w:cs="Arial" w:eastAsia="Arial" w:hAnsi="Arial"/>
                <w:sz w:val="18"/>
                <w:szCs w:val="18"/>
                <w:color w:val="auto"/>
              </w:rPr>
              <w:t>2025</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6,911</w:t>
            </w:r>
          </w:p>
        </w:tc>
      </w:tr>
      <w:tr>
        <w:trPr>
          <w:trHeight w:val="229"/>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4,440</w:t>
            </w:r>
          </w:p>
        </w:tc>
      </w:tr>
      <w:tr>
        <w:trPr>
          <w:trHeight w:val="229"/>
        </w:trPr>
        <w:tc>
          <w:tcPr>
            <w:tcW w:w="9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6,146</w:t>
            </w:r>
          </w:p>
        </w:tc>
      </w:tr>
      <w:tr>
        <w:trPr>
          <w:trHeight w:val="223"/>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future lease payments</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55,699</w:t>
            </w:r>
          </w:p>
        </w:tc>
      </w:tr>
      <w:tr>
        <w:trPr>
          <w:trHeight w:val="270"/>
        </w:trPr>
        <w:tc>
          <w:tcPr>
            <w:tcW w:w="93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Less: Imputed interest</w:t>
            </w:r>
          </w:p>
        </w:tc>
        <w:tc>
          <w:tcPr>
            <w:tcW w:w="26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(3,829)</w:t>
            </w:r>
          </w:p>
        </w:tc>
      </w:tr>
      <w:tr>
        <w:trPr>
          <w:trHeight w:val="248"/>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51,870</w:t>
            </w: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2022, the Company had additional operating lease minimum lease payments of $956 for executed leases that have not yet commenced, primarily for office locations.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the financing lease was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31, 2022</w:t>
            </w:r>
          </w:p>
        </w:tc>
        <w:tc>
          <w:tcPr>
            <w:tcW w:w="200" w:type="dxa"/>
            <w:vAlign w:val="bottom"/>
          </w:tcPr>
          <w:p>
            <w:pPr>
              <w:spacing w:after="0"/>
              <w:rPr>
                <w:sz w:val="18"/>
                <w:szCs w:val="18"/>
                <w:color w:val="auto"/>
              </w:rPr>
            </w:pPr>
          </w:p>
        </w:tc>
        <w:tc>
          <w:tcPr>
            <w:tcW w:w="1740" w:type="dxa"/>
            <w:vAlign w:val="bottom"/>
          </w:tcPr>
          <w:p>
            <w:pPr>
              <w:jc w:val="right"/>
              <w:ind w:right="231"/>
              <w:spacing w:after="0"/>
              <w:rPr>
                <w:sz w:val="20"/>
                <w:szCs w:val="20"/>
                <w:color w:val="auto"/>
              </w:rPr>
            </w:pPr>
            <w:r>
              <w:rPr>
                <w:rFonts w:ascii="Arial" w:cs="Arial" w:eastAsia="Arial" w:hAnsi="Arial"/>
                <w:sz w:val="16"/>
                <w:szCs w:val="16"/>
                <w:b w:val="1"/>
                <w:bCs w:val="1"/>
                <w:color w:val="auto"/>
                <w:w w:val="97"/>
              </w:rPr>
              <w:t>December 31, 2021</w:t>
            </w:r>
          </w:p>
        </w:tc>
        <w:tc>
          <w:tcPr>
            <w:tcW w:w="0" w:type="dxa"/>
            <w:vAlign w:val="bottom"/>
          </w:tcPr>
          <w:p>
            <w:pPr>
              <w:spacing w:after="0"/>
              <w:rPr>
                <w:sz w:val="1"/>
                <w:szCs w:val="1"/>
                <w:color w:val="auto"/>
              </w:rPr>
            </w:pPr>
          </w:p>
        </w:tc>
      </w:tr>
      <w:tr>
        <w:trPr>
          <w:trHeight w:val="226"/>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2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30"/>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w:t>
            </w: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Accruals and other current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3"/>
        </w:trPr>
        <w:tc>
          <w:tcPr>
            <w:tcW w:w="7100" w:type="dxa"/>
            <w:vAlign w:val="bottom"/>
          </w:tcPr>
          <w:p>
            <w:pPr>
              <w:ind w:left="20"/>
              <w:spacing w:after="0"/>
              <w:rPr>
                <w:sz w:val="20"/>
                <w:szCs w:val="20"/>
                <w:color w:val="auto"/>
              </w:rPr>
            </w:pPr>
            <w:r>
              <w:rPr>
                <w:rFonts w:ascii="Arial" w:cs="Arial" w:eastAsia="Arial" w:hAnsi="Arial"/>
                <w:sz w:val="18"/>
                <w:szCs w:val="18"/>
                <w:color w:val="auto"/>
              </w:rPr>
              <w:t>Total financing lease liabilities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8"/>
                <w:szCs w:val="18"/>
                <w:b w:val="1"/>
                <w:bCs w:val="1"/>
                <w:color w:val="auto"/>
              </w:rPr>
              <w:t>Note 9: Accruals and Other Current Liabilities</w:t>
            </w: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71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100" w:type="dxa"/>
            <w:vAlign w:val="bottom"/>
          </w:tcPr>
          <w:p>
            <w:pPr>
              <w:spacing w:after="0"/>
              <w:rPr>
                <w:sz w:val="20"/>
                <w:szCs w:val="20"/>
                <w:color w:val="auto"/>
              </w:rPr>
            </w:pPr>
            <w:r>
              <w:rPr>
                <w:rFonts w:ascii="Arial" w:cs="Arial" w:eastAsia="Arial" w:hAnsi="Arial"/>
                <w:sz w:val="18"/>
                <w:szCs w:val="18"/>
                <w:color w:val="auto"/>
              </w:rPr>
              <w:t>Accruals and other current liabilities consist of the following:</w:t>
            </w: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7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31, 2022</w:t>
            </w:r>
          </w:p>
        </w:tc>
        <w:tc>
          <w:tcPr>
            <w:tcW w:w="200" w:type="dxa"/>
            <w:vAlign w:val="bottom"/>
          </w:tcPr>
          <w:p>
            <w:pPr>
              <w:spacing w:after="0"/>
              <w:rPr>
                <w:sz w:val="24"/>
                <w:szCs w:val="24"/>
                <w:color w:val="auto"/>
              </w:rPr>
            </w:pPr>
          </w:p>
        </w:tc>
        <w:tc>
          <w:tcPr>
            <w:tcW w:w="1740" w:type="dxa"/>
            <w:vAlign w:val="bottom"/>
          </w:tcPr>
          <w:p>
            <w:pPr>
              <w:jc w:val="right"/>
              <w:ind w:right="231"/>
              <w:spacing w:after="0"/>
              <w:rPr>
                <w:sz w:val="20"/>
                <w:szCs w:val="20"/>
                <w:color w:val="auto"/>
              </w:rPr>
            </w:pPr>
            <w:r>
              <w:rPr>
                <w:rFonts w:ascii="Arial" w:cs="Arial" w:eastAsia="Arial" w:hAnsi="Arial"/>
                <w:sz w:val="16"/>
                <w:szCs w:val="16"/>
                <w:b w:val="1"/>
                <w:bCs w:val="1"/>
                <w:color w:val="auto"/>
                <w:w w:val="97"/>
              </w:rPr>
              <w:t>December 31, 2021</w:t>
            </w:r>
          </w:p>
        </w:tc>
        <w:tc>
          <w:tcPr>
            <w:tcW w:w="0" w:type="dxa"/>
            <w:vAlign w:val="bottom"/>
          </w:tcPr>
          <w:p>
            <w:pPr>
              <w:spacing w:after="0"/>
              <w:rPr>
                <w:sz w:val="1"/>
                <w:szCs w:val="1"/>
                <w:color w:val="auto"/>
              </w:rPr>
            </w:pPr>
          </w:p>
        </w:tc>
      </w:tr>
      <w:tr>
        <w:trPr>
          <w:trHeight w:val="226"/>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CSS deposits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200,589</w:t>
            </w:r>
          </w:p>
        </w:tc>
        <w:tc>
          <w:tcPr>
            <w:tcW w:w="2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162,046</w:t>
            </w:r>
          </w:p>
        </w:tc>
        <w:tc>
          <w:tcPr>
            <w:tcW w:w="0" w:type="dxa"/>
            <w:vAlign w:val="bottom"/>
          </w:tcPr>
          <w:p>
            <w:pPr>
              <w:spacing w:after="0"/>
              <w:rPr>
                <w:sz w:val="1"/>
                <w:szCs w:val="1"/>
                <w:color w:val="auto"/>
              </w:rPr>
            </w:pP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Accrued benefits</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41,927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36,656</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29,437</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37,725</w:t>
            </w:r>
          </w:p>
        </w:tc>
        <w:tc>
          <w:tcPr>
            <w:tcW w:w="0" w:type="dxa"/>
            <w:vAlign w:val="bottom"/>
          </w:tcPr>
          <w:p>
            <w:pPr>
              <w:spacing w:after="0"/>
              <w:rPr>
                <w:sz w:val="1"/>
                <w:szCs w:val="1"/>
                <w:color w:val="auto"/>
              </w:rPr>
            </w:pPr>
          </w:p>
        </w:tc>
      </w:tr>
      <w:tr>
        <w:trPr>
          <w:trHeight w:val="229"/>
        </w:trPr>
        <w:tc>
          <w:tcPr>
            <w:tcW w:w="7100" w:type="dxa"/>
            <w:vAlign w:val="bottom"/>
          </w:tcPr>
          <w:p>
            <w:pPr>
              <w:ind w:left="20"/>
              <w:spacing w:after="0"/>
              <w:rPr>
                <w:sz w:val="20"/>
                <w:szCs w:val="20"/>
                <w:color w:val="auto"/>
              </w:rPr>
            </w:pPr>
            <w:r>
              <w:rPr>
                <w:rFonts w:ascii="Arial" w:cs="Arial" w:eastAsia="Arial" w:hAnsi="Arial"/>
                <w:sz w:val="18"/>
                <w:szCs w:val="18"/>
                <w:color w:val="auto"/>
              </w:rPr>
              <w:t>Due to customers</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14,500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12,798</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compensation plan liabilities</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7,779</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7,309</w:t>
            </w:r>
          </w:p>
        </w:tc>
        <w:tc>
          <w:tcPr>
            <w:tcW w:w="0" w:type="dxa"/>
            <w:vAlign w:val="bottom"/>
          </w:tcPr>
          <w:p>
            <w:pPr>
              <w:spacing w:after="0"/>
              <w:rPr>
                <w:sz w:val="1"/>
                <w:szCs w:val="1"/>
                <w:color w:val="auto"/>
              </w:rPr>
            </w:pP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Accrued indirect taxes</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6,457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7,520</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acquisition stay bonus</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5,838</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9,461</w:t>
            </w:r>
          </w:p>
        </w:tc>
        <w:tc>
          <w:tcPr>
            <w:tcW w:w="0" w:type="dxa"/>
            <w:vAlign w:val="bottom"/>
          </w:tcPr>
          <w:p>
            <w:pPr>
              <w:spacing w:after="0"/>
              <w:rPr>
                <w:sz w:val="1"/>
                <w:szCs w:val="1"/>
                <w:color w:val="auto"/>
              </w:rPr>
            </w:pPr>
          </w:p>
        </w:tc>
      </w:tr>
      <w:tr>
        <w:trPr>
          <w:trHeight w:val="229"/>
        </w:trPr>
        <w:tc>
          <w:tcPr>
            <w:tcW w:w="7100" w:type="dxa"/>
            <w:vAlign w:val="bottom"/>
          </w:tcPr>
          <w:p>
            <w:pPr>
              <w:ind w:left="20"/>
              <w:spacing w:after="0"/>
              <w:rPr>
                <w:sz w:val="20"/>
                <w:szCs w:val="20"/>
                <w:color w:val="auto"/>
              </w:rPr>
            </w:pPr>
            <w:r>
              <w:rPr>
                <w:rFonts w:ascii="Arial" w:cs="Arial" w:eastAsia="Arial" w:hAnsi="Arial"/>
                <w:sz w:val="18"/>
                <w:szCs w:val="18"/>
                <w:color w:val="auto"/>
              </w:rPr>
              <w:t>Accrued cloud provisioning costs</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5,396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5,862</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professional fees</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3,945</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6,940</w:t>
            </w:r>
          </w:p>
        </w:tc>
        <w:tc>
          <w:tcPr>
            <w:tcW w:w="0" w:type="dxa"/>
            <w:vAlign w:val="bottom"/>
          </w:tcPr>
          <w:p>
            <w:pPr>
              <w:spacing w:after="0"/>
              <w:rPr>
                <w:sz w:val="1"/>
                <w:szCs w:val="1"/>
                <w:color w:val="auto"/>
              </w:rPr>
            </w:pP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Non-contingent consideration from acquisitions</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3,522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4,751</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 from acquisitions</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3,401</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5,382</w:t>
            </w:r>
          </w:p>
        </w:tc>
        <w:tc>
          <w:tcPr>
            <w:tcW w:w="0" w:type="dxa"/>
            <w:vAlign w:val="bottom"/>
          </w:tcPr>
          <w:p>
            <w:pPr>
              <w:spacing w:after="0"/>
              <w:rPr>
                <w:sz w:val="1"/>
                <w:szCs w:val="1"/>
                <w:color w:val="auto"/>
              </w:rPr>
            </w:pPr>
          </w:p>
        </w:tc>
      </w:tr>
      <w:tr>
        <w:trPr>
          <w:trHeight w:val="229"/>
        </w:trPr>
        <w:tc>
          <w:tcPr>
            <w:tcW w:w="7100" w:type="dxa"/>
            <w:vAlign w:val="bottom"/>
          </w:tcPr>
          <w:p>
            <w:pPr>
              <w:ind w:left="20"/>
              <w:spacing w:after="0"/>
              <w:rPr>
                <w:sz w:val="20"/>
                <w:szCs w:val="20"/>
                <w:color w:val="auto"/>
              </w:rPr>
            </w:pPr>
            <w:r>
              <w:rPr>
                <w:rFonts w:ascii="Arial" w:cs="Arial" w:eastAsia="Arial" w:hAnsi="Arial"/>
                <w:sz w:val="18"/>
                <w:szCs w:val="18"/>
                <w:color w:val="auto"/>
              </w:rPr>
              <w:t>Employee stock purchase plan contributions</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3,118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4,818</w:t>
            </w: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accrued and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25,364</w:t>
            </w: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22,335</w:t>
            </w:r>
          </w:p>
        </w:tc>
        <w:tc>
          <w:tcPr>
            <w:tcW w:w="0" w:type="dxa"/>
            <w:vAlign w:val="bottom"/>
          </w:tcPr>
          <w:p>
            <w:pPr>
              <w:spacing w:after="0"/>
              <w:rPr>
                <w:sz w:val="1"/>
                <w:szCs w:val="1"/>
                <w:color w:val="auto"/>
              </w:rPr>
            </w:pPr>
          </w:p>
        </w:tc>
      </w:tr>
      <w:tr>
        <w:trPr>
          <w:trHeight w:val="223"/>
        </w:trPr>
        <w:tc>
          <w:tcPr>
            <w:tcW w:w="7100" w:type="dxa"/>
            <w:vAlign w:val="bottom"/>
          </w:tcPr>
          <w:p>
            <w:pPr>
              <w:ind w:left="20"/>
              <w:spacing w:after="0"/>
              <w:rPr>
                <w:sz w:val="20"/>
                <w:szCs w:val="20"/>
                <w:color w:val="auto"/>
              </w:rPr>
            </w:pPr>
            <w:r>
              <w:rPr>
                <w:rFonts w:ascii="Arial" w:cs="Arial" w:eastAsia="Arial" w:hAnsi="Arial"/>
                <w:sz w:val="18"/>
                <w:szCs w:val="18"/>
                <w:color w:val="auto"/>
              </w:rPr>
              <w:t>Total accruals and other current liabilities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351,273</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323,603</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1" w:name="page22"/>
    <w:bookmarkEnd w:id="21"/>
    <w:p>
      <w:pPr>
        <w:spacing w:after="0" w:line="194"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Note 10: Long</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Term Debt</w:t>
      </w:r>
    </w:p>
    <w:p>
      <w:pPr>
        <w:spacing w:after="0" w:line="22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Long</w:t>
      </w:r>
      <w:r>
        <w:rPr>
          <w:rFonts w:ascii="MS PGothic" w:cs="MS PGothic" w:eastAsia="MS PGothic" w:hAnsi="MS PGothic"/>
          <w:sz w:val="18"/>
          <w:szCs w:val="18"/>
          <w:color w:val="auto"/>
        </w:rPr>
        <w:t>‑</w:t>
      </w:r>
      <w:r>
        <w:rPr>
          <w:rFonts w:ascii="Arial" w:cs="Arial" w:eastAsia="Arial" w:hAnsi="Arial"/>
          <w:sz w:val="18"/>
          <w:szCs w:val="18"/>
          <w:color w:val="auto"/>
        </w:rPr>
        <w:t>term debt consists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31, 2022</w:t>
            </w:r>
          </w:p>
        </w:tc>
        <w:tc>
          <w:tcPr>
            <w:tcW w:w="200" w:type="dxa"/>
            <w:vAlign w:val="bottom"/>
          </w:tcPr>
          <w:p>
            <w:pPr>
              <w:spacing w:after="0"/>
              <w:rPr>
                <w:sz w:val="18"/>
                <w:szCs w:val="18"/>
                <w:color w:val="auto"/>
              </w:rPr>
            </w:pPr>
          </w:p>
        </w:tc>
        <w:tc>
          <w:tcPr>
            <w:tcW w:w="1740" w:type="dxa"/>
            <w:vAlign w:val="bottom"/>
          </w:tcPr>
          <w:p>
            <w:pPr>
              <w:jc w:val="right"/>
              <w:ind w:right="231"/>
              <w:spacing w:after="0"/>
              <w:rPr>
                <w:sz w:val="20"/>
                <w:szCs w:val="20"/>
                <w:color w:val="auto"/>
              </w:rPr>
            </w:pPr>
            <w:r>
              <w:rPr>
                <w:rFonts w:ascii="Arial" w:cs="Arial" w:eastAsia="Arial" w:hAnsi="Arial"/>
                <w:sz w:val="16"/>
                <w:szCs w:val="16"/>
                <w:b w:val="1"/>
                <w:bCs w:val="1"/>
                <w:color w:val="auto"/>
                <w:w w:val="97"/>
              </w:rPr>
              <w:t>December 31, 2021</w:t>
            </w:r>
          </w:p>
        </w:tc>
      </w:tr>
      <w:tr>
        <w:trPr>
          <w:trHeight w:val="213"/>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Bank credit facility:</w:t>
            </w:r>
          </w:p>
        </w:tc>
        <w:tc>
          <w:tcPr>
            <w:tcW w:w="26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r>
      <w:tr>
        <w:trPr>
          <w:trHeight w:val="270"/>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Revolving loan facility</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440,216</w:t>
            </w:r>
          </w:p>
        </w:tc>
        <w:tc>
          <w:tcPr>
            <w:tcW w:w="26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Term loan:</w:t>
            </w:r>
          </w:p>
        </w:tc>
        <w:tc>
          <w:tcPr>
            <w:tcW w:w="26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r>
      <w:tr>
        <w:trPr>
          <w:trHeight w:val="270"/>
        </w:trPr>
        <w:tc>
          <w:tcPr>
            <w:tcW w:w="7100" w:type="dxa"/>
            <w:vAlign w:val="bottom"/>
          </w:tcPr>
          <w:p>
            <w:pPr>
              <w:ind w:left="360"/>
              <w:spacing w:after="0"/>
              <w:rPr>
                <w:sz w:val="20"/>
                <w:szCs w:val="20"/>
                <w:color w:val="auto"/>
              </w:rPr>
            </w:pPr>
            <w:r>
              <w:rPr>
                <w:rFonts w:ascii="Arial" w:cs="Arial" w:eastAsia="Arial" w:hAnsi="Arial"/>
                <w:sz w:val="18"/>
                <w:szCs w:val="18"/>
                <w:color w:val="auto"/>
              </w:rPr>
              <w:t>Principal</w:t>
            </w:r>
          </w:p>
        </w:tc>
        <w:tc>
          <w:tcPr>
            <w:tcW w:w="26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198,750</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200,000</w:t>
            </w:r>
          </w:p>
        </w:tc>
      </w:tr>
      <w:tr>
        <w:trPr>
          <w:trHeight w:val="270"/>
        </w:trPr>
        <w:tc>
          <w:tcPr>
            <w:tcW w:w="7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Unamortized debt issuance costs</w:t>
            </w:r>
          </w:p>
        </w:tc>
        <w:tc>
          <w:tcPr>
            <w:tcW w:w="26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6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w:t>
            </w:r>
          </w:p>
        </w:tc>
      </w:tr>
      <w:tr>
        <w:trPr>
          <w:trHeight w:val="250"/>
        </w:trPr>
        <w:tc>
          <w:tcPr>
            <w:tcW w:w="71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Term loan net carrying value</w:t>
            </w:r>
          </w:p>
        </w:tc>
        <w:tc>
          <w:tcPr>
            <w:tcW w:w="2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198,250</w:t>
            </w:r>
          </w:p>
        </w:tc>
        <w:tc>
          <w:tcPr>
            <w:tcW w:w="2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199,466</w:t>
            </w:r>
          </w:p>
        </w:tc>
      </w:tr>
      <w:tr>
        <w:trPr>
          <w:trHeight w:val="250"/>
        </w:trPr>
        <w:tc>
          <w:tcPr>
            <w:tcW w:w="7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Bank credit facility net carrying value</w:t>
            </w:r>
          </w:p>
        </w:tc>
        <w:tc>
          <w:tcPr>
            <w:tcW w:w="26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638,466</w:t>
            </w:r>
          </w:p>
        </w:tc>
        <w:tc>
          <w:tcPr>
            <w:tcW w:w="26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199,466</w:t>
            </w:r>
          </w:p>
        </w:tc>
      </w:tr>
      <w:tr>
        <w:trPr>
          <w:trHeight w:val="209"/>
        </w:trPr>
        <w:tc>
          <w:tcPr>
            <w:tcW w:w="7100" w:type="dxa"/>
            <w:vAlign w:val="bottom"/>
          </w:tcPr>
          <w:p>
            <w:pPr>
              <w:ind w:left="20"/>
              <w:spacing w:after="0"/>
              <w:rPr>
                <w:sz w:val="20"/>
                <w:szCs w:val="20"/>
                <w:color w:val="auto"/>
              </w:rPr>
            </w:pPr>
            <w:r>
              <w:rPr>
                <w:rFonts w:ascii="Arial" w:cs="Arial" w:eastAsia="Arial" w:hAnsi="Arial"/>
                <w:sz w:val="18"/>
                <w:szCs w:val="18"/>
                <w:color w:val="auto"/>
              </w:rPr>
              <w:t>2026 Notes:</w:t>
            </w: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70"/>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w:t>
            </w:r>
          </w:p>
        </w:tc>
        <w:tc>
          <w:tcPr>
            <w:tcW w:w="26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690,000</w:t>
            </w: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690,000</w:t>
            </w:r>
          </w:p>
        </w:tc>
      </w:tr>
      <w:tr>
        <w:trPr>
          <w:trHeight w:val="270"/>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Unamortized debt issuance costs</w:t>
            </w:r>
          </w:p>
        </w:tc>
        <w:tc>
          <w:tcPr>
            <w:tcW w:w="26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(13,769)</w:t>
            </w:r>
          </w:p>
        </w:tc>
        <w:tc>
          <w:tcPr>
            <w:tcW w:w="26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(14,677)</w:t>
            </w:r>
          </w:p>
        </w:tc>
      </w:tr>
      <w:tr>
        <w:trPr>
          <w:trHeight w:val="250"/>
        </w:trPr>
        <w:tc>
          <w:tcPr>
            <w:tcW w:w="7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2026 Notes net carrying value</w:t>
            </w:r>
          </w:p>
        </w:tc>
        <w:tc>
          <w:tcPr>
            <w:tcW w:w="26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676,231</w:t>
            </w:r>
          </w:p>
        </w:tc>
        <w:tc>
          <w:tcPr>
            <w:tcW w:w="26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675,323</w:t>
            </w:r>
          </w:p>
        </w:tc>
      </w:tr>
      <w:tr>
        <w:trPr>
          <w:trHeight w:val="209"/>
        </w:trPr>
        <w:tc>
          <w:tcPr>
            <w:tcW w:w="7100" w:type="dxa"/>
            <w:vAlign w:val="bottom"/>
          </w:tcPr>
          <w:p>
            <w:pPr>
              <w:ind w:left="20"/>
              <w:spacing w:after="0"/>
              <w:rPr>
                <w:sz w:val="20"/>
                <w:szCs w:val="20"/>
                <w:color w:val="auto"/>
              </w:rPr>
            </w:pPr>
            <w:r>
              <w:rPr>
                <w:rFonts w:ascii="Arial" w:cs="Arial" w:eastAsia="Arial" w:hAnsi="Arial"/>
                <w:sz w:val="18"/>
                <w:szCs w:val="18"/>
                <w:color w:val="auto"/>
              </w:rPr>
              <w:t>2027 Notes:</w:t>
            </w: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70"/>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w:t>
            </w:r>
          </w:p>
        </w:tc>
        <w:tc>
          <w:tcPr>
            <w:tcW w:w="26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r>
      <w:tr>
        <w:trPr>
          <w:trHeight w:val="270"/>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Unamortized debt issuance costs</w:t>
            </w:r>
          </w:p>
        </w:tc>
        <w:tc>
          <w:tcPr>
            <w:tcW w:w="26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(13,170)</w:t>
            </w:r>
          </w:p>
        </w:tc>
        <w:tc>
          <w:tcPr>
            <w:tcW w:w="26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(13,797)</w:t>
            </w:r>
          </w:p>
        </w:tc>
      </w:tr>
      <w:tr>
        <w:trPr>
          <w:trHeight w:val="250"/>
        </w:trPr>
        <w:tc>
          <w:tcPr>
            <w:tcW w:w="7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2027 Notes net carrying value</w:t>
            </w:r>
          </w:p>
        </w:tc>
        <w:tc>
          <w:tcPr>
            <w:tcW w:w="26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561,830</w:t>
            </w:r>
          </w:p>
        </w:tc>
        <w:tc>
          <w:tcPr>
            <w:tcW w:w="26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561,203</w:t>
            </w:r>
          </w:p>
        </w:tc>
      </w:tr>
      <w:tr>
        <w:trPr>
          <w:trHeight w:val="223"/>
        </w:trPr>
        <w:tc>
          <w:tcPr>
            <w:tcW w:w="7100" w:type="dxa"/>
            <w:vAlign w:val="bottom"/>
          </w:tcPr>
          <w:p>
            <w:pPr>
              <w:ind w:left="20"/>
              <w:spacing w:after="0"/>
              <w:rPr>
                <w:sz w:val="20"/>
                <w:szCs w:val="20"/>
                <w:color w:val="auto"/>
              </w:rPr>
            </w:pPr>
            <w:r>
              <w:rPr>
                <w:rFonts w:ascii="Arial" w:cs="Arial" w:eastAsia="Arial" w:hAnsi="Arial"/>
                <w:sz w:val="18"/>
                <w:szCs w:val="18"/>
                <w:color w:val="auto"/>
              </w:rPr>
              <w:t>Total net carrying value</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1,876,527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1,435,992</w:t>
            </w:r>
          </w:p>
        </w:tc>
      </w:tr>
      <w:tr>
        <w:trPr>
          <w:trHeight w:val="270"/>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Current portion of long-term debt</w:t>
            </w:r>
          </w:p>
        </w:tc>
        <w:tc>
          <w:tcPr>
            <w:tcW w:w="26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6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23"/>
        </w:trPr>
        <w:tc>
          <w:tcPr>
            <w:tcW w:w="710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1,871,527</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1,430,992</w:t>
            </w:r>
          </w:p>
        </w:tc>
      </w:tr>
      <w:tr>
        <w:trPr>
          <w:trHeight w:val="20"/>
        </w:trPr>
        <w:tc>
          <w:tcPr>
            <w:tcW w:w="7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Credit Facility</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an amended and restated Credit Agreement, which provides for an $850,000 senior secured revolving loan facility with a maturity date of November 15, 2025 and a $200,000 senior secured term loan as described further below (the “Credit Facility”).</w:t>
      </w:r>
    </w:p>
    <w:p>
      <w:pPr>
        <w:spacing w:after="0" w:line="170"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The Company’s $200,000 senior secured term loan has a maturity of November 15, 2025 (the “2021 Term Loan”). The 2021 Term Loan requires principal repayment at the end of each calendar quarter. Beginning with March 31, 2022 and ending with December 31, 2023, the Company is required to repay $1,250 per quarter. Beginning with March 31, 2024 and ending with the last such date prior to the maturity date, the Company is required to repay $2,500 per quarter. The Company incurred $540 of debt issuance costs related to the 2021 Term Loan. The Company used borrowings under the 2021 Term Loan to pay down borrowings under the swingline sub</w:t>
      </w:r>
      <w:r>
        <w:rPr>
          <w:rFonts w:ascii="MS PGothic" w:cs="MS PGothic" w:eastAsia="MS PGothic" w:hAnsi="MS PGothic"/>
          <w:sz w:val="17"/>
          <w:szCs w:val="17"/>
          <w:color w:val="auto"/>
        </w:rPr>
        <w:t>‑</w:t>
      </w:r>
      <w:r>
        <w:rPr>
          <w:rFonts w:ascii="Arial" w:cs="Arial" w:eastAsia="Arial" w:hAnsi="Arial"/>
          <w:sz w:val="17"/>
          <w:szCs w:val="17"/>
          <w:color w:val="auto"/>
        </w:rPr>
        <w:t>facility and revolving loan facility under the Credit Facility.</w:t>
      </w:r>
    </w:p>
    <w:p>
      <w:pPr>
        <w:spacing w:after="0" w:line="205"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In addition to the senior secured revolving loan facility, the Credit Facility also provides up to $50,000 of letters of credit and other borrowings subject to availability, including a $85,000 U.S. Dollar swingline sub</w:t>
      </w:r>
      <w:r>
        <w:rPr>
          <w:rFonts w:ascii="MS PGothic" w:cs="MS PGothic" w:eastAsia="MS PGothic" w:hAnsi="MS PGothic"/>
          <w:sz w:val="18"/>
          <w:szCs w:val="18"/>
          <w:color w:val="auto"/>
        </w:rPr>
        <w:t>‑</w:t>
      </w:r>
      <w:r>
        <w:rPr>
          <w:rFonts w:ascii="Arial" w:cs="Arial" w:eastAsia="Arial" w:hAnsi="Arial"/>
          <w:sz w:val="18"/>
          <w:szCs w:val="18"/>
          <w:color w:val="auto"/>
        </w:rPr>
        <w:t>facility and a $200,000 incremental “accordion” sub</w:t>
      </w:r>
      <w:r>
        <w:rPr>
          <w:rFonts w:ascii="MS PGothic" w:cs="MS PGothic" w:eastAsia="MS PGothic" w:hAnsi="MS PGothic"/>
          <w:sz w:val="18"/>
          <w:szCs w:val="18"/>
          <w:color w:val="auto"/>
        </w:rPr>
        <w:t>‑</w:t>
      </w:r>
      <w:r>
        <w:rPr>
          <w:rFonts w:ascii="Arial" w:cs="Arial" w:eastAsia="Arial" w:hAnsi="Arial"/>
          <w:sz w:val="18"/>
          <w:szCs w:val="18"/>
          <w:color w:val="auto"/>
        </w:rPr>
        <w:t>facility. The Company had $150 of letters of credit and surety bonds outstanding as of March 31, 2022 and December 31, 2021. As of March 31, 2022 and December 31, 2021, the Company had $409,634 and $849,850, respectively, available under the Credit Facility.</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Borrowings under the Credit Facility are guaranteed by all of the Company’s first tier domestic subsidiaries and are secured by a first priority security interest in substantially all of the Company’s and the guarantors’ U.S. assets and 65% of the stock of their directly owned foreign subsidiaries. The Credit Facility contains both affirmative and negative covenants, including maximum net leverage ratios. As of March 31, 2022 and December 31, 2021, the Company was in compliance with all covenants in its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Senior Notes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2026 Notes</w:t>
      </w:r>
    </w:p>
    <w:p>
      <w:pPr>
        <w:spacing w:after="0" w:line="225"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On January 26, 2021, the Company completed a private offering of $690,000 of 0.125% convertible senior notes due 2026 (the “2026 Notes”). The 2026 Notes were issued pursuant to an indenture, dated as of January 26, 2021, between the Company and Wilmington Trust, National Association, as trustee (the “2026 Indenture”). Interest will accrue from January 26, 2021 and will be payable semi</w:t>
      </w:r>
      <w:r>
        <w:rPr>
          <w:rFonts w:ascii="MS PGothic" w:cs="MS PGothic" w:eastAsia="MS PGothic" w:hAnsi="MS PGothic"/>
          <w:sz w:val="17"/>
          <w:szCs w:val="17"/>
          <w:color w:val="auto"/>
        </w:rPr>
        <w:t>‑</w:t>
      </w:r>
      <w:r>
        <w:rPr>
          <w:rFonts w:ascii="Arial" w:cs="Arial" w:eastAsia="Arial" w:hAnsi="Arial"/>
          <w:sz w:val="17"/>
          <w:szCs w:val="17"/>
          <w:color w:val="auto"/>
        </w:rPr>
        <w:t>annually in arrears in cash on January 15 and July 15 of each year, with the first payment due on July 15, 2021. The 2026 Notes will mature on January 15, 2026, unless earlier converted, redeemed or repurchased. The Company incurred $18,055 of expenses in connection with the 2026 Notes offering consisting of the payment of initial purchasers’ discounts and commissions, professional fees, and other expenses (“transaction costs”). The Company used $25,530 of the net proceeds from the sale of the 2026 Notes to pay the premiums of the capped call options described further below, and approximately $250,500 to repay outstanding indebtedness under the Credit Facility and to pay related fees and expenses. The Company used the remainder of the net proceeds from the sale of the 2026 Notes for general corporate purposes and towards funding certain acquisitions, including Seequent (see Note 4).</w:t>
      </w:r>
    </w:p>
    <w:p>
      <w:pPr>
        <w:spacing w:after="0" w:line="20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Prior to October 15, 2025, the 2026 Notes will be convertible at the option of the holder only under the following circumstances: (1) during any calendar quarter (and only during such quarter) commencing after the calendar quarter ending on June 30, 2021, if the last reported sale price per share of the Company’s Class B Common Stock exceeds 130% of the conversion price for each of at least 20 trading days, whether or not consecutive, during the 30 consecutive trading days ending on, and including, the last trading day of the immediately preceding calendar quarter; (2) during the five consecutive business days immediately after any ten consecutive trading day period (such ten consecutive trading day period, the “measurement period”) in which the trading price per $1 principal amount of 2026 Notes for each trading day of the measurement period was less than 98% of the product of the last reported sale price per share of the Company’s Class B Common Stock on such trading day and the conversion rate on such trading day; (3) upon the occurrence of certain corporate events or distributions on the Company’s Class B Common Stock, as described in the 2026 Indenture; and (4) if the Company calls the 2026 Notes for redemption. On or after October 15, 2025 until 5:00 p.m., New York City time, on the second scheduled trading day immediately before the maturity date, the 2026 Notes will be convertible at the option of the holder at any time.</w:t>
      </w:r>
    </w:p>
    <w:p>
      <w:pPr>
        <w:spacing w:after="0" w:line="16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will settle conversions by paying or delivering, as applicable, cash, shares of the Company’s Class B Common Stock or a combination of cash and shares of the Company’s Class B Common Stock, at the Company’s election, based on the applicable conversion rate. The initial conversion rate is 15.5925 shares of the Company’s Class B Common Stock per $1 principal amount of 2026 Notes, which represents an initial conversion price of approximately $64.13 per share, and is subject to adjustment as described in the 2026 Indenture. If a “make-whole fundamental change” (as defined in the 2026 Indenture) occurs, then the Company will, in certain circumstances, increase the conversion rate for a specified period of time.</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will have the option to redeem the 2026 Notes in whole or in part at any time on or after January 20, 2024 and on or before the 40th scheduled trading day immediately before the maturity date if the last reported sale price per share of the Company’s Class B common stock exceeds 130% of the conversion price on (1) each of at least 20 trading days, whether or not consecutive, during any 30 consecutive trading days ending on, and including, the trading day immediately before the date the Company sends the related redemption notice; and (2) the trading day immediately before the date the Company sends such notice. The redemption price will be equal to the principal amount of the 2026 Notes to be redeemed, plus accrued and unpaid interest, if any, to, but excluding, the redemption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98"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Upon a fundamental change (as defined in the 2026 Indenture), holders may, subject to certain exceptions, require the Company to purchase their 2026 Notes in whole or in part for cash at a price equal to the principal amount of the 2026 Notes to be purchased, plus accrued and unpaid interest, if any, to, but excluding, the fundamental change repurchase date (as defined in the 2026 Indenture). In addition, upon a Make</w:t>
      </w:r>
      <w:r>
        <w:rPr>
          <w:rFonts w:ascii="MS PGothic" w:cs="MS PGothic" w:eastAsia="MS PGothic" w:hAnsi="MS PGothic"/>
          <w:sz w:val="18"/>
          <w:szCs w:val="18"/>
          <w:color w:val="auto"/>
        </w:rPr>
        <w:t>‑</w:t>
      </w:r>
      <w:r>
        <w:rPr>
          <w:rFonts w:ascii="Arial" w:cs="Arial" w:eastAsia="Arial" w:hAnsi="Arial"/>
          <w:sz w:val="18"/>
          <w:szCs w:val="18"/>
          <w:color w:val="auto"/>
        </w:rPr>
        <w:t>Whole Fundamental Change (as defined in the 2026 Indenture), the Company will, under certain circumstances, increase the applicable conversion rate for a holder that elects to convert its 2026 Notes in connection with such Make</w:t>
      </w:r>
      <w:r>
        <w:rPr>
          <w:rFonts w:ascii="MS PGothic" w:cs="MS PGothic" w:eastAsia="MS PGothic" w:hAnsi="MS PGothic"/>
          <w:sz w:val="18"/>
          <w:szCs w:val="18"/>
          <w:color w:val="auto"/>
        </w:rPr>
        <w:t>‑</w:t>
      </w:r>
      <w:r>
        <w:rPr>
          <w:rFonts w:ascii="Arial" w:cs="Arial" w:eastAsia="Arial" w:hAnsi="Arial"/>
          <w:sz w:val="18"/>
          <w:szCs w:val="18"/>
          <w:color w:val="auto"/>
        </w:rPr>
        <w:t>Whole Fundamental Change. No adjustment to the conversion rate will be made if the stock price in such Make</w:t>
      </w:r>
      <w:r>
        <w:rPr>
          <w:rFonts w:ascii="MS PGothic" w:cs="MS PGothic" w:eastAsia="MS PGothic" w:hAnsi="MS PGothic"/>
          <w:sz w:val="18"/>
          <w:szCs w:val="18"/>
          <w:color w:val="auto"/>
        </w:rPr>
        <w:t>‑</w:t>
      </w:r>
      <w:r>
        <w:rPr>
          <w:rFonts w:ascii="Arial" w:cs="Arial" w:eastAsia="Arial" w:hAnsi="Arial"/>
          <w:sz w:val="18"/>
          <w:szCs w:val="18"/>
          <w:color w:val="auto"/>
        </w:rPr>
        <w:t>Whole Fundamental Change is either less than $44.23 per share or greater than $210.00 per share. The Company will not increase the conversion rate to an amount that exceeds 22.6090 shares per $1 principal amount of 2026 Notes, subject to adjustment. The 2026 Indenture also contains a customary merger covenant.</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2026 Notes were accounted for as debt, with no bifurcation of the embedded conversion feature. Transaction costs were recorded as a direct deduction from the related debt liability in the consolidated balance sheet and are amortized to interest expense over the term of the 2026 Notes. The effective interest rate for the 2026 Notes is 0.658%.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2022, none of the conditions of the 2026 Notes to early convert has been met.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2026 Notes contain both affirmative and negative covenants. As of March 31, 2022, the Company was in compliance with all covenants in the 2026 Notes.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Capped Call Options </w:t>
      </w:r>
      <w:r>
        <w:rPr>
          <w:rFonts w:ascii="Arial" w:cs="Arial" w:eastAsia="Arial" w:hAnsi="Arial"/>
          <w:sz w:val="17"/>
          <w:szCs w:val="17"/>
          <w:color w:val="auto"/>
        </w:rPr>
        <w:t>— In connection with the pricing of the 2026 Notes, the Company entered into capped call options with certain of the initial</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purchasers or their respective affiliates and certain other financial institutions. The Company incurred $150 of expenses in connection with the capped call options. The capped call options are expected to reduce potential dilution to the Company’s Class B Common Stock upon any conversion of 2026 Notes and/or offset any cash payments the Company is required to make in excess of the principal amount of converted notes, as the case may be, with such reduction and/or offset subject to a cap. The cap price of the capped call options is initially $72.9795 per share, which represents a premium of 65% above the last reported sale price per share of the Company’s Class B Common Stock on the Nasdaq Global Select Market on January 21, 2021 and is subject to customary adjustments under the terms of the capped call options.</w:t>
      </w:r>
    </w:p>
    <w:p>
      <w:pPr>
        <w:spacing w:after="0" w:line="17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The capped call options were entered into in conjunction with the issuance of the 2026 Notes, however, they are legally separate agreements that can be separately exercised, with the receipt of shares under the capped call options having no effect on the 2026 Notes, and are legally detachable. As the capped call options are both legally detachable and separately exercisable from the 2026 Notes, the Company accounts for the capped call options separately from the 2026 Notes. The capped call options are indexed to the Company’s own common stock and classified in stockholders’ equity. As such, the premiums paid for the capped call options have been included as a net reduction to </w:t>
      </w:r>
      <w:r>
        <w:rPr>
          <w:rFonts w:ascii="Arial" w:cs="Arial" w:eastAsia="Arial" w:hAnsi="Arial"/>
          <w:sz w:val="16"/>
          <w:szCs w:val="16"/>
          <w:i w:val="1"/>
          <w:iCs w:val="1"/>
          <w:color w:val="auto"/>
        </w:rPr>
        <w:t>Additional paid-in capital</w:t>
      </w:r>
      <w:r>
        <w:rPr>
          <w:rFonts w:ascii="Arial" w:cs="Arial" w:eastAsia="Arial" w:hAnsi="Arial"/>
          <w:sz w:val="16"/>
          <w:szCs w:val="16"/>
          <w:color w:val="auto"/>
        </w:rPr>
        <w:t xml:space="preserve"> in the consolidated balance sheet.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2027 Notes</w:t>
      </w:r>
    </w:p>
    <w:p>
      <w:pPr>
        <w:spacing w:after="0" w:line="225"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On June 28, 2021, the Company completed a private offering of $575,000 of 0.375% convertible senior notes due 2027 (the “2027 Notes”). The 2027 Notes were issued pursuant to an indenture, dated as of June 28, 2021, between the Company and Wilmington Trust, National Association, as trustee (the “2027 Indenture”). Interest will accrue from June 28, 2021 and will be payable semi</w:t>
      </w:r>
      <w:r>
        <w:rPr>
          <w:rFonts w:ascii="MS PGothic" w:cs="MS PGothic" w:eastAsia="MS PGothic" w:hAnsi="MS PGothic"/>
          <w:sz w:val="17"/>
          <w:szCs w:val="17"/>
          <w:color w:val="auto"/>
        </w:rPr>
        <w:t>‑</w:t>
      </w:r>
      <w:r>
        <w:rPr>
          <w:rFonts w:ascii="Arial" w:cs="Arial" w:eastAsia="Arial" w:hAnsi="Arial"/>
          <w:sz w:val="17"/>
          <w:szCs w:val="17"/>
          <w:color w:val="auto"/>
        </w:rPr>
        <w:t>annually in arrears in cash on January 1 and July 1 of each year, with the first payment due on January 1, 2022. The 2027 Notes will mature on July 1, 2027, unless earlier converted, redeemed or repurchased. The Company incurred $15,065 of expenses in connection with the 2027 Notes offering consisting of transaction costs. The Company used $25,875 of the net proceeds from the sale of the 2027 Notes to pay the premiums of the capped call options described further below, and $536,062 to repay outstanding indebtedness under the Credit Facility and to pay related fees and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9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Prior to April 1, 2027, the 2027 Notes will be convertible at the option of the holder only under the following circumstances: (1) during any calendar quarter (and only during such quarter) commencing after the calendar quarter ending on September 30, 2021, if the last reported sale price per share of the Company’s Class B Common Stock exceeds 130% of the conversion price for each of at least 20 trading days, whether or not consecutive, during the 30 consecutive trading days ending on, and including, the last trading day of the immediately preceding calendar quarter; (2) during the five consecutive business days immediately after any ten consecutive trading day period (such ten consecutive trading day period, the “measurement period”) in which the trading price per $1 principal amount of 2027 Notes for each trading day of the measurement period was less than 98% of the product of the last reported sale price per share of the Company’s Class B Common Stock on such trading day and the conversion rate on such trading day; (3) upon the occurrence of certain corporate events or distributions on the Company’s Class B Common Stock, as described in the 2027 Indenture; and (4) if the Company calls the 2027 Notes for redemption. On or after April 1, 2027 until 5:00 p.m., New York City time, on the second scheduled trading day immediately before the maturity date, the 2027 Notes will be convertible at the option of the holder at any time.</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will settle conversions by paying or delivering, as applicable, cash, shares of the Company’s Class B Common Stock or a combination of cash and shares of the Company’s Class B Common Stock, at the Company’s election, based on the applicable conversion rate. The initial conversion rate is 12.0153 shares of the Company’s Class B Common Stock per $1 principal amount of 2027 Notes, which represents an initial conversion price of approximately $83.23 per share, and is subject to adjustment as described in the 2027 Indenture. If a “make-whole fundamental change” (as defined in the 2027 Indenture) occurs, then the Company will, in certain circumstances, increase the conversion rate for a specified period of time.</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will have the option to redeem the 2027 Notes in whole or in part at any time on or after July 5, 2024 and on or before the 40th scheduled trading day immediately before the maturity date if the last reported sale price per share of the Company’s Class B common stock exceeds 130% of the conversion price on (1) each of at least 20 trading days, whether or not consecutive, during any 30 consecutive trading days ending on, and including, the trading day immediately before the date the Company sends the related redemption notice; and (2) the trading day immediately before the date the Company sends such notice. The redemption price will be equal to the principal amount of the 2027 Notes to be redeemed, plus accrued and unpaid interest, if any, to, but excluding, the redemption date.</w:t>
      </w:r>
    </w:p>
    <w:p>
      <w:pPr>
        <w:spacing w:after="0" w:line="192"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Upon a fundamental change (as defined in the 2027 Indenture), holders may, subject to certain exceptions, require the Company to purchase their 2027 Notes in whole or in part for cash at a price equal to the principal amount of the 2027 Notes to be purchased, plus accrued and unpaid interest, if any, to, but excluding, the fundamental change repurchase date (as defined in the 2027 Indenture). In addition, upon a Make</w:t>
      </w:r>
      <w:r>
        <w:rPr>
          <w:rFonts w:ascii="MS PGothic" w:cs="MS PGothic" w:eastAsia="MS PGothic" w:hAnsi="MS PGothic"/>
          <w:sz w:val="18"/>
          <w:szCs w:val="18"/>
          <w:color w:val="auto"/>
        </w:rPr>
        <w:t>‑</w:t>
      </w:r>
      <w:r>
        <w:rPr>
          <w:rFonts w:ascii="Arial" w:cs="Arial" w:eastAsia="Arial" w:hAnsi="Arial"/>
          <w:sz w:val="18"/>
          <w:szCs w:val="18"/>
          <w:color w:val="auto"/>
        </w:rPr>
        <w:t>Whole Fundamental Change (as defined in the 2027 Indenture), the Company will, under certain circumstances, increase the applicable conversion rate for a holder that elects to convert its 2027 Notes in connection with such Make</w:t>
      </w:r>
      <w:r>
        <w:rPr>
          <w:rFonts w:ascii="MS PGothic" w:cs="MS PGothic" w:eastAsia="MS PGothic" w:hAnsi="MS PGothic"/>
          <w:sz w:val="18"/>
          <w:szCs w:val="18"/>
          <w:color w:val="auto"/>
        </w:rPr>
        <w:t>‑</w:t>
      </w:r>
      <w:r>
        <w:rPr>
          <w:rFonts w:ascii="Arial" w:cs="Arial" w:eastAsia="Arial" w:hAnsi="Arial"/>
          <w:sz w:val="18"/>
          <w:szCs w:val="18"/>
          <w:color w:val="auto"/>
        </w:rPr>
        <w:t>Whole Fundamental Change. No adjustment to the conversion rate will be made if the stock price in such Make</w:t>
      </w:r>
      <w:r>
        <w:rPr>
          <w:rFonts w:ascii="MS PGothic" w:cs="MS PGothic" w:eastAsia="MS PGothic" w:hAnsi="MS PGothic"/>
          <w:sz w:val="18"/>
          <w:szCs w:val="18"/>
          <w:color w:val="auto"/>
        </w:rPr>
        <w:t>‑</w:t>
      </w:r>
      <w:r>
        <w:rPr>
          <w:rFonts w:ascii="Arial" w:cs="Arial" w:eastAsia="Arial" w:hAnsi="Arial"/>
          <w:sz w:val="18"/>
          <w:szCs w:val="18"/>
          <w:color w:val="auto"/>
        </w:rPr>
        <w:t>Whole Fundamental Change is either less than $61.65 per share or greater than $325.00 per share. The Company will not increase the conversion rate to an amount that exceeds 16.2206 shares per $1 principal amount of 2027 Notes, subject to adjustment. The 2027 Indenture also contains a customary merger covenant.</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2027 Notes were accounted for as debt, with no bifurcation of the embedded conversion feature. Transaction costs were recorded as a direct deduction from the related debt liability in the consolidated balance sheet and are amortized to interest expense over the term of the 2027 Notes. The effective interest rate for the 2027 Notes is 0.864%.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2022, none of the conditions of the 2027 Notes to early convert has been met.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2027 Notes contain both affirmative and negative covenants. As of March 31, 2022, the Company was in compliance with all covenants in the 2027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Capped Call Options </w:t>
      </w:r>
      <w:r>
        <w:rPr>
          <w:rFonts w:ascii="Arial" w:cs="Arial" w:eastAsia="Arial" w:hAnsi="Arial"/>
          <w:sz w:val="17"/>
          <w:szCs w:val="17"/>
          <w:color w:val="auto"/>
        </w:rPr>
        <w:t>— In connection with the pricing of the 2027 Notes, the Company entered into capped call options with certain of the initial</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purchasers or their respective affiliates and certain other financial institutions. The Company incurred $50 of expenses in connection with the capped call options. The capped call options are expected to reduce potential dilution to the Company’s Class B Common Stock upon any conversion of 2027 Notes and/or offset any cash payments the Company is required to make in excess of the principal amount of converted notes, as the case may be, with such reduction and/or offset subject to a cap. The cap price of the capped call options is initially $95.5575 per share, which represents a premium of 55% above the last reported sale price per share of the Company’s Class B Common Stock on the Nasdaq Global Select Market on June 23, 2021 and is subject to customary adjustments under the terms of the capped call options.</w:t>
      </w:r>
    </w:p>
    <w:p>
      <w:pPr>
        <w:spacing w:after="0" w:line="17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The capped call options were entered into in conjunction with the issuance of the 2027 Notes, however, they are legally separate agreements that can be separately exercised, with the receipt of shares under the capped call options having no effect on the 2027 Notes, and are legally detachable. As the capped call options are both legally detachable and separately exercisable from the 2027 Notes, the Company accounts for the capped call options separately from the 2027 Notes. The capped call options are indexed to the Company’s own common stock and classified in stockholders’ equity. As such, the premiums paid for the capped call options have been included as a net reduction to </w:t>
      </w:r>
      <w:r>
        <w:rPr>
          <w:rFonts w:ascii="Arial" w:cs="Arial" w:eastAsia="Arial" w:hAnsi="Arial"/>
          <w:sz w:val="16"/>
          <w:szCs w:val="16"/>
          <w:i w:val="1"/>
          <w:iCs w:val="1"/>
          <w:color w:val="auto"/>
        </w:rPr>
        <w:t>Additional paid-in capital</w:t>
      </w:r>
      <w:r>
        <w:rPr>
          <w:rFonts w:ascii="Arial" w:cs="Arial" w:eastAsia="Arial" w:hAnsi="Arial"/>
          <w:sz w:val="16"/>
          <w:szCs w:val="16"/>
          <w:color w:val="auto"/>
        </w:rPr>
        <w:t xml:space="preserve"> in the consolidated balance sheet.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consists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960" w:type="dxa"/>
            <w:vAlign w:val="bottom"/>
          </w:tcPr>
          <w:p>
            <w:pPr>
              <w:spacing w:after="0"/>
              <w:rPr>
                <w:sz w:val="18"/>
                <w:szCs w:val="18"/>
                <w:color w:val="auto"/>
              </w:rPr>
            </w:pPr>
          </w:p>
        </w:tc>
      </w:tr>
      <w:tr>
        <w:trPr>
          <w:trHeight w:val="219"/>
        </w:trPr>
        <w:tc>
          <w:tcPr>
            <w:tcW w:w="300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6"/>
                <w:szCs w:val="16"/>
                <w:b w:val="1"/>
                <w:bCs w:val="1"/>
                <w:color w:val="auto"/>
              </w:rPr>
              <w:t>March 31,</w:t>
            </w:r>
          </w:p>
        </w:tc>
        <w:tc>
          <w:tcPr>
            <w:tcW w:w="960" w:type="dxa"/>
            <w:vAlign w:val="bottom"/>
            <w:tcBorders>
              <w:bottom w:val="single" w:sz="8" w:color="auto"/>
            </w:tcBorders>
          </w:tcPr>
          <w:p>
            <w:pPr>
              <w:spacing w:after="0"/>
              <w:rPr>
                <w:sz w:val="19"/>
                <w:szCs w:val="19"/>
                <w:color w:val="auto"/>
              </w:rPr>
            </w:pPr>
          </w:p>
        </w:tc>
      </w:tr>
      <w:tr>
        <w:trPr>
          <w:trHeight w:val="210"/>
        </w:trPr>
        <w:tc>
          <w:tcPr>
            <w:tcW w:w="3000" w:type="dxa"/>
            <w:vAlign w:val="bottom"/>
            <w:tcBorders>
              <w:bottom w:val="single" w:sz="8" w:color="CCEEFF"/>
            </w:tcBorders>
          </w:tcPr>
          <w:p>
            <w:pPr>
              <w:spacing w:after="0"/>
              <w:rPr>
                <w:sz w:val="18"/>
                <w:szCs w:val="18"/>
                <w:color w:val="auto"/>
              </w:rPr>
            </w:pPr>
          </w:p>
        </w:tc>
        <w:tc>
          <w:tcPr>
            <w:tcW w:w="48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w w:val="89"/>
              </w:rPr>
              <w:t>2021</w:t>
            </w:r>
          </w:p>
        </w:tc>
      </w:tr>
      <w:tr>
        <w:trPr>
          <w:trHeight w:val="212"/>
        </w:trPr>
        <w:tc>
          <w:tcPr>
            <w:tcW w:w="7860" w:type="dxa"/>
            <w:vAlign w:val="bottom"/>
            <w:gridSpan w:val="2"/>
            <w:shd w:val="clear" w:color="auto" w:fill="CCEEFF"/>
          </w:tcPr>
          <w:p>
            <w:pPr>
              <w:ind w:left="20"/>
              <w:spacing w:after="0" w:line="212" w:lineRule="exact"/>
              <w:rPr>
                <w:sz w:val="20"/>
                <w:szCs w:val="20"/>
                <w:color w:val="auto"/>
              </w:rPr>
            </w:pPr>
            <w:r>
              <w:rPr>
                <w:rFonts w:ascii="Arial" w:cs="Arial" w:eastAsia="Arial" w:hAnsi="Arial"/>
                <w:sz w:val="18"/>
                <w:szCs w:val="18"/>
                <w:color w:val="auto"/>
              </w:rPr>
              <w:t xml:space="preserve">Bank credit facility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70"/>
        </w:trPr>
        <w:tc>
          <w:tcPr>
            <w:tcW w:w="7860" w:type="dxa"/>
            <w:vAlign w:val="bottom"/>
            <w:gridSpan w:val="2"/>
          </w:tcPr>
          <w:p>
            <w:pPr>
              <w:ind w:left="180"/>
              <w:spacing w:after="0"/>
              <w:rPr>
                <w:sz w:val="20"/>
                <w:szCs w:val="20"/>
                <w:color w:val="auto"/>
              </w:rPr>
            </w:pPr>
            <w:r>
              <w:rPr>
                <w:rFonts w:ascii="Arial" w:cs="Arial" w:eastAsia="Arial" w:hAnsi="Arial"/>
                <w:sz w:val="18"/>
                <w:szCs w:val="18"/>
                <w:color w:val="auto"/>
              </w:rPr>
              <w:t>Revolving loan facility</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2,225</w:t>
            </w:r>
          </w:p>
        </w:tc>
        <w:tc>
          <w:tcPr>
            <w:tcW w:w="260" w:type="dxa"/>
            <w:vAlign w:val="bottom"/>
          </w:tcPr>
          <w:p>
            <w:pPr>
              <w:spacing w:after="0"/>
              <w:rPr>
                <w:sz w:val="23"/>
                <w:szCs w:val="23"/>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729</w:t>
            </w:r>
          </w:p>
        </w:tc>
      </w:tr>
      <w:tr>
        <w:trPr>
          <w:trHeight w:val="270"/>
        </w:trPr>
        <w:tc>
          <w:tcPr>
            <w:tcW w:w="7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Term loan</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2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860" w:type="dxa"/>
            <w:vAlign w:val="bottom"/>
            <w:gridSpan w:val="2"/>
          </w:tcPr>
          <w:p>
            <w:pPr>
              <w:ind w:left="180"/>
              <w:spacing w:after="0"/>
              <w:rPr>
                <w:sz w:val="20"/>
                <w:szCs w:val="20"/>
                <w:color w:val="auto"/>
              </w:rPr>
            </w:pPr>
            <w:r>
              <w:rPr>
                <w:rFonts w:ascii="Arial" w:cs="Arial" w:eastAsia="Arial" w:hAnsi="Arial"/>
                <w:sz w:val="18"/>
                <w:szCs w:val="18"/>
                <w:color w:val="auto"/>
              </w:rPr>
              <w:t>Interest rate swap</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294</w:t>
            </w: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301</w:t>
            </w:r>
          </w:p>
        </w:tc>
      </w:tr>
      <w:tr>
        <w:trPr>
          <w:trHeight w:val="270"/>
        </w:trPr>
        <w:tc>
          <w:tcPr>
            <w:tcW w:w="7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Amortization and write-off of deferred debt issuance costs</w:t>
            </w: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6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w:t>
            </w:r>
          </w:p>
        </w:tc>
      </w:tr>
      <w:tr>
        <w:trPr>
          <w:trHeight w:val="223"/>
        </w:trPr>
        <w:tc>
          <w:tcPr>
            <w:tcW w:w="3000" w:type="dxa"/>
            <w:vAlign w:val="bottom"/>
            <w:tcBorders>
              <w:bottom w:val="single" w:sz="8" w:color="CCEEFF"/>
            </w:tcBorders>
          </w:tcPr>
          <w:p>
            <w:pPr>
              <w:spacing w:after="0"/>
              <w:rPr>
                <w:sz w:val="19"/>
                <w:szCs w:val="19"/>
                <w:color w:val="auto"/>
              </w:rPr>
            </w:pPr>
          </w:p>
        </w:tc>
        <w:tc>
          <w:tcPr>
            <w:tcW w:w="48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3,829</w:t>
            </w:r>
          </w:p>
        </w:tc>
        <w:tc>
          <w:tcPr>
            <w:tcW w:w="26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1,605</w:t>
            </w:r>
          </w:p>
        </w:tc>
      </w:tr>
      <w:tr>
        <w:trPr>
          <w:trHeight w:val="209"/>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 Notes: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70"/>
        </w:trPr>
        <w:tc>
          <w:tcPr>
            <w:tcW w:w="7860" w:type="dxa"/>
            <w:vAlign w:val="bottom"/>
            <w:gridSpan w:val="2"/>
          </w:tcPr>
          <w:p>
            <w:pPr>
              <w:ind w:left="180"/>
              <w:spacing w:after="0"/>
              <w:rPr>
                <w:sz w:val="20"/>
                <w:szCs w:val="20"/>
                <w:color w:val="auto"/>
              </w:rPr>
            </w:pPr>
            <w:r>
              <w:rPr>
                <w:rFonts w:ascii="Arial" w:cs="Arial" w:eastAsia="Arial" w:hAnsi="Arial"/>
                <w:sz w:val="18"/>
                <w:szCs w:val="18"/>
                <w:color w:val="auto"/>
              </w:rPr>
              <w:t>0.125% Coupon interest</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216</w:t>
            </w: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70"/>
        </w:trPr>
        <w:tc>
          <w:tcPr>
            <w:tcW w:w="7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deferred debt issuance costs</w:t>
            </w: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26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r>
      <w:tr>
        <w:trPr>
          <w:trHeight w:val="223"/>
        </w:trPr>
        <w:tc>
          <w:tcPr>
            <w:tcW w:w="3000" w:type="dxa"/>
            <w:vAlign w:val="bottom"/>
            <w:tcBorders>
              <w:bottom w:val="single" w:sz="8" w:color="CCEEFF"/>
            </w:tcBorders>
          </w:tcPr>
          <w:p>
            <w:pPr>
              <w:spacing w:after="0"/>
              <w:rPr>
                <w:sz w:val="19"/>
                <w:szCs w:val="19"/>
                <w:color w:val="auto"/>
              </w:rPr>
            </w:pPr>
          </w:p>
        </w:tc>
        <w:tc>
          <w:tcPr>
            <w:tcW w:w="48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w:t>
            </w:r>
          </w:p>
        </w:tc>
        <w:tc>
          <w:tcPr>
            <w:tcW w:w="26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w:t>
            </w:r>
          </w:p>
        </w:tc>
      </w:tr>
      <w:tr>
        <w:trPr>
          <w:trHeight w:val="209"/>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2027 Notes: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70"/>
        </w:trPr>
        <w:tc>
          <w:tcPr>
            <w:tcW w:w="7860" w:type="dxa"/>
            <w:vAlign w:val="bottom"/>
            <w:gridSpan w:val="2"/>
          </w:tcPr>
          <w:p>
            <w:pPr>
              <w:ind w:left="180"/>
              <w:spacing w:after="0"/>
              <w:rPr>
                <w:sz w:val="20"/>
                <w:szCs w:val="20"/>
                <w:color w:val="auto"/>
              </w:rPr>
            </w:pPr>
            <w:r>
              <w:rPr>
                <w:rFonts w:ascii="Arial" w:cs="Arial" w:eastAsia="Arial" w:hAnsi="Arial"/>
                <w:sz w:val="18"/>
                <w:szCs w:val="18"/>
                <w:color w:val="auto"/>
              </w:rPr>
              <w:t>0.375% Coupon interest</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539</w:t>
            </w: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deferred debt issuance costs</w:t>
            </w: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26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000" w:type="dxa"/>
            <w:vAlign w:val="bottom"/>
            <w:tcBorders>
              <w:bottom w:val="single" w:sz="8" w:color="CCEEFF"/>
            </w:tcBorders>
          </w:tcPr>
          <w:p>
            <w:pPr>
              <w:spacing w:after="0"/>
              <w:rPr>
                <w:sz w:val="19"/>
                <w:szCs w:val="19"/>
                <w:color w:val="auto"/>
              </w:rPr>
            </w:pPr>
          </w:p>
        </w:tc>
        <w:tc>
          <w:tcPr>
            <w:tcW w:w="48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w:t>
            </w:r>
          </w:p>
        </w:tc>
        <w:tc>
          <w:tcPr>
            <w:tcW w:w="26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obligations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26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7860" w:type="dxa"/>
            <w:vAlign w:val="bottom"/>
            <w:gridSpan w:val="2"/>
          </w:tcPr>
          <w:p>
            <w:pPr>
              <w:ind w:left="20"/>
              <w:spacing w:after="0"/>
              <w:rPr>
                <w:sz w:val="20"/>
                <w:szCs w:val="20"/>
                <w:color w:val="auto"/>
              </w:rPr>
            </w:pPr>
            <w:r>
              <w:rPr>
                <w:rFonts w:ascii="Arial" w:cs="Arial" w:eastAsia="Arial" w:hAnsi="Arial"/>
                <w:sz w:val="18"/>
                <w:szCs w:val="18"/>
                <w:color w:val="auto"/>
              </w:rPr>
              <w:t>Total interest expense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7,124</w:t>
            </w:r>
          </w:p>
        </w:tc>
        <w:tc>
          <w:tcPr>
            <w:tcW w:w="26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2,401</w:t>
            </w:r>
          </w:p>
        </w:tc>
      </w:tr>
      <w:tr>
        <w:trPr>
          <w:trHeight w:val="20"/>
        </w:trPr>
        <w:tc>
          <w:tcPr>
            <w:tcW w:w="30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0"/>
        </w:trPr>
        <w:tc>
          <w:tcPr>
            <w:tcW w:w="3000" w:type="dxa"/>
            <w:vAlign w:val="bottom"/>
            <w:tcBorders>
              <w:bottom w:val="single" w:sz="8" w:color="auto"/>
            </w:tcBorders>
          </w:tcPr>
          <w:p>
            <w:pPr>
              <w:spacing w:after="0"/>
              <w:rPr>
                <w:sz w:val="18"/>
                <w:szCs w:val="18"/>
                <w:color w:val="auto"/>
              </w:rPr>
            </w:pPr>
          </w:p>
        </w:tc>
        <w:tc>
          <w:tcPr>
            <w:tcW w:w="4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r>
    </w:tbl>
    <w:p>
      <w:pPr>
        <w:spacing w:after="0" w:line="121"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weighted average interest rate was 2.32% and 1.90% for the three months ended March 31, 2022 and 2021, respectively.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Interest rate risk associated with the Credit Facility is managed through an interest rate swap which has a termination date of April 2, 2030. Under the terms of the interest rate swap, the Company fixed its LIBOR borrowing rate at 0.73% on a notional amount of $200,000. The interest rate swap is not designated as a hedging instrument for accounting purposes. The Company accounts for the interest rate swap as either an asset or a liability in the consolidated balance sheets and carries the derivative at fair value. Gains and losses from the change in fair value are recognized in </w:t>
      </w:r>
      <w:r>
        <w:rPr>
          <w:rFonts w:ascii="Arial" w:cs="Arial" w:eastAsia="Arial" w:hAnsi="Arial"/>
          <w:sz w:val="17"/>
          <w:szCs w:val="17"/>
          <w:i w:val="1"/>
          <w:iCs w:val="1"/>
          <w:color w:val="auto"/>
        </w:rPr>
        <w:t>Other income, net</w:t>
      </w:r>
      <w:r>
        <w:rPr>
          <w:rFonts w:ascii="Arial" w:cs="Arial" w:eastAsia="Arial" w:hAnsi="Arial"/>
          <w:sz w:val="17"/>
          <w:szCs w:val="17"/>
          <w:color w:val="auto"/>
        </w:rPr>
        <w:t xml:space="preserve"> in the consolidated statements of operations. As of March 31, 2022 and December 31, 2021, the Company recorded a swap related asset at fair value of $22,201 and $10,117, respectively, in </w:t>
      </w:r>
      <w:r>
        <w:rPr>
          <w:rFonts w:ascii="Arial" w:cs="Arial" w:eastAsia="Arial" w:hAnsi="Arial"/>
          <w:sz w:val="17"/>
          <w:szCs w:val="17"/>
          <w:i w:val="1"/>
          <w:iCs w:val="1"/>
          <w:color w:val="auto"/>
        </w:rPr>
        <w:t>Other assets</w:t>
      </w:r>
      <w:r>
        <w:rPr>
          <w:rFonts w:ascii="Arial" w:cs="Arial" w:eastAsia="Arial" w:hAnsi="Arial"/>
          <w:sz w:val="17"/>
          <w:szCs w:val="17"/>
          <w:color w:val="auto"/>
        </w:rPr>
        <w:t xml:space="preserve"> in the consolidated balance sheets.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Executive Bonus Plan</w:t>
      </w:r>
    </w:p>
    <w:p>
      <w:pPr>
        <w:spacing w:after="0" w:line="229"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Certain of the Company’s key employees, including its named executive officers, participate in the amended and restated Bentley Systems, Incorporated Bonus Pool Plan (the “Bonus Plan”). Pursuant to the Bonus Plan, participants are eligible to receive incentive bonuses that are determined based on the Company’s adjusted Management Report Operating Income (“MROI”), as defined in the plan agreement and before deduction for such plan payments. For purposes of the Bonus Plan, the bonus pool thereunder may be funded with up to an aggregate of 20% of the Company’s adjusted MROI, subject to approval by the board of directors, with payments made to plan participants based on each such participant’s allocated interest in the bonus pool. The plan permits the deduction of certain holdback amounts from the plan’s pool, from which amounts can then be allocated to fund items including equity and/or cash incentive compensation for non</w:t>
      </w:r>
      <w:r>
        <w:rPr>
          <w:rFonts w:ascii="MS PGothic" w:cs="MS PGothic" w:eastAsia="MS PGothic" w:hAnsi="MS PGothic"/>
          <w:sz w:val="17"/>
          <w:szCs w:val="17"/>
          <w:color w:val="auto"/>
        </w:rPr>
        <w:t>‑</w:t>
      </w:r>
      <w:r>
        <w:rPr>
          <w:rFonts w:ascii="Arial" w:cs="Arial" w:eastAsia="Arial" w:hAnsi="Arial"/>
          <w:sz w:val="17"/>
          <w:szCs w:val="17"/>
          <w:color w:val="auto"/>
        </w:rPr>
        <w:t>plan participants and participant charitable contributions.</w:t>
      </w:r>
    </w:p>
    <w:p>
      <w:pPr>
        <w:spacing w:after="0" w:line="206"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A participant may defer any portion, or all, of such participant’s incentive bonus payable pursuant to the Bonus Plan into the deferred compensation plan (see Note 12). A participant’s non</w:t>
      </w:r>
      <w:r>
        <w:rPr>
          <w:rFonts w:ascii="MS PGothic" w:cs="MS PGothic" w:eastAsia="MS PGothic" w:hAnsi="MS PGothic"/>
          <w:sz w:val="17"/>
          <w:szCs w:val="17"/>
          <w:color w:val="auto"/>
        </w:rPr>
        <w:t>‑</w:t>
      </w:r>
      <w:r>
        <w:rPr>
          <w:rFonts w:ascii="Arial" w:cs="Arial" w:eastAsia="Arial" w:hAnsi="Arial"/>
          <w:sz w:val="17"/>
          <w:szCs w:val="17"/>
          <w:color w:val="auto"/>
        </w:rPr>
        <w:t>deferred incentive bonus is payable in cash, however, the Bonus Plan provides, in part, that a participant may elect to receive any portion, or all, of such participant’s non</w:t>
      </w:r>
      <w:r>
        <w:rPr>
          <w:rFonts w:ascii="MS PGothic" w:cs="MS PGothic" w:eastAsia="MS PGothic" w:hAnsi="MS PGothic"/>
          <w:sz w:val="17"/>
          <w:szCs w:val="17"/>
          <w:color w:val="auto"/>
        </w:rPr>
        <w:t>‑</w:t>
      </w:r>
      <w:r>
        <w:rPr>
          <w:rFonts w:ascii="Arial" w:cs="Arial" w:eastAsia="Arial" w:hAnsi="Arial"/>
          <w:sz w:val="17"/>
          <w:szCs w:val="17"/>
          <w:color w:val="auto"/>
        </w:rPr>
        <w:t>deferred incentive bonus in the form of shares of fully vested Class B Common Stock issued under the Bentley Systems, Incorporated 2020 Omnibus Incentive Plan, subject to the limitation described below. The Company records the election of non</w:t>
      </w:r>
      <w:r>
        <w:rPr>
          <w:rFonts w:ascii="MS PGothic" w:cs="MS PGothic" w:eastAsia="MS PGothic" w:hAnsi="MS PGothic"/>
          <w:sz w:val="17"/>
          <w:szCs w:val="17"/>
          <w:color w:val="auto"/>
        </w:rPr>
        <w:t>‑</w:t>
      </w:r>
      <w:r>
        <w:rPr>
          <w:rFonts w:ascii="Arial" w:cs="Arial" w:eastAsia="Arial" w:hAnsi="Arial"/>
          <w:sz w:val="17"/>
          <w:szCs w:val="17"/>
          <w:color w:val="auto"/>
        </w:rPr>
        <w:t>deferred incentive bonus in the form of shares of fully vested Class B Common Stock as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in the consolidated statements of operations (see Note 15). Such election must be made prior to the start of the applicable calendar quarter for which the incentive bonus is to be paid, and the number of shares of Class B Common Stock payable in respect of such elected amount is calculated using a volume-weighted average price of the Company’s Class B Common Stock for the period commencing on the tenth trading day prior to the end of the applicable calendar quarter and ending on the tenth trading day following the end of the applicable calendar quarter. Notwithstanding participants’ elections to receive shares of fully vested Class B Common Stock in respect of their non</w:t>
      </w:r>
      <w:r>
        <w:rPr>
          <w:rFonts w:ascii="MS PGothic" w:cs="MS PGothic" w:eastAsia="MS PGothic" w:hAnsi="MS PGothic"/>
          <w:sz w:val="17"/>
          <w:szCs w:val="17"/>
          <w:color w:val="auto"/>
        </w:rPr>
        <w:t>‑</w:t>
      </w:r>
      <w:r>
        <w:rPr>
          <w:rFonts w:ascii="Arial" w:cs="Arial" w:eastAsia="Arial" w:hAnsi="Arial"/>
          <w:sz w:val="17"/>
          <w:szCs w:val="17"/>
          <w:color w:val="auto"/>
        </w:rPr>
        <w:t>deferred incentive bonus payments, if, in any calendar quarter, the aggregate U.S. Dollar value of shares of fully vested Class B Common Stock payable in respect of the non</w:t>
      </w:r>
      <w:r>
        <w:rPr>
          <w:rFonts w:ascii="MS PGothic" w:cs="MS PGothic" w:eastAsia="MS PGothic" w:hAnsi="MS PGothic"/>
          <w:sz w:val="17"/>
          <w:szCs w:val="17"/>
          <w:color w:val="auto"/>
        </w:rPr>
        <w:t>‑</w:t>
      </w:r>
      <w:r>
        <w:rPr>
          <w:rFonts w:ascii="Arial" w:cs="Arial" w:eastAsia="Arial" w:hAnsi="Arial"/>
          <w:sz w:val="17"/>
          <w:szCs w:val="17"/>
          <w:color w:val="auto"/>
        </w:rPr>
        <w:t>deferred incentive bonuses exceeds $7,500, the portion of each participant’s non</w:t>
      </w:r>
      <w:r>
        <w:rPr>
          <w:rFonts w:ascii="MS PGothic" w:cs="MS PGothic" w:eastAsia="MS PGothic" w:hAnsi="MS PGothic"/>
          <w:sz w:val="17"/>
          <w:szCs w:val="17"/>
          <w:color w:val="auto"/>
        </w:rPr>
        <w:t>‑</w:t>
      </w:r>
      <w:r>
        <w:rPr>
          <w:rFonts w:ascii="Arial" w:cs="Arial" w:eastAsia="Arial" w:hAnsi="Arial"/>
          <w:sz w:val="17"/>
          <w:szCs w:val="17"/>
          <w:color w:val="auto"/>
        </w:rPr>
        <w:t>deferred incentive bonus payable in shares of fully vested Class B Common Stock will be reduced pro rata such that the $7,500 limit is not exceeded, and, for each affected participant, the amount of such reduction will be payable in cash.</w:t>
      </w: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March 31, 2022 and 2021, the incentive compensation, including cash payments, election to receive shares of fully vested Class B Common Stock, and deferred compensation to plan participants, recognized under this plan (net of all applicable holdbacks) was $9,719 and $8,875,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Retirement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 Plan</w:t>
      </w:r>
    </w:p>
    <w:p>
      <w:pPr>
        <w:spacing w:after="0" w:line="225"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Under the Company’s unfunded amended and restated Bentley Systems, Incorporated Nonqualified Deferred Compensation Plan (the “DCP”), certain officers and key employees may defer all or any part of their incentive compensation, and the Company may make discretionary awards on behalf of such participants. Elective participant deferrals and discretionary Company awards are received in the form of phantom shares of the Company’s Class B Common Stock, which are valued for tax and accounting purposes in the same manner as actual shares of Class B Common Stock, and are recorded as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in the consolidated statements of operations (see Note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jc w:val="both"/>
        <w:spacing w:after="0" w:line="277" w:lineRule="auto"/>
        <w:rPr>
          <w:sz w:val="20"/>
          <w:szCs w:val="20"/>
          <w:color w:val="auto"/>
        </w:rPr>
      </w:pPr>
      <w:r>
        <w:rPr>
          <w:rFonts w:ascii="Arial" w:cs="Arial" w:eastAsia="Arial" w:hAnsi="Arial"/>
          <w:sz w:val="18"/>
          <w:szCs w:val="18"/>
          <w:color w:val="auto"/>
        </w:rPr>
        <w:t>DCP participants’ holdings in phantom shares of the Company’s Class B Common Stock are equity classified as they will be settled in shares of Class B Common Stock upon eventual distribution.</w:t>
      </w:r>
    </w:p>
    <w:p>
      <w:pPr>
        <w:spacing w:after="0" w:line="170"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In August 2021, the Company’s board of directors approved an amendment to the DCP, which offered to certain active executives in the DCP a one</w:t>
      </w:r>
      <w:r>
        <w:rPr>
          <w:rFonts w:ascii="MS PGothic" w:cs="MS PGothic" w:eastAsia="MS PGothic" w:hAnsi="MS PGothic"/>
          <w:sz w:val="18"/>
          <w:szCs w:val="18"/>
          <w:color w:val="auto"/>
        </w:rPr>
        <w:t>‑</w:t>
      </w:r>
      <w:r>
        <w:rPr>
          <w:rFonts w:ascii="Arial" w:cs="Arial" w:eastAsia="Arial" w:hAnsi="Arial"/>
          <w:sz w:val="18"/>
          <w:szCs w:val="18"/>
          <w:color w:val="auto"/>
        </w:rPr>
        <w:t>time, short</w:t>
      </w:r>
      <w:r>
        <w:rPr>
          <w:rFonts w:ascii="MS PGothic" w:cs="MS PGothic" w:eastAsia="MS PGothic" w:hAnsi="MS PGothic"/>
          <w:sz w:val="18"/>
          <w:szCs w:val="18"/>
          <w:color w:val="auto"/>
        </w:rPr>
        <w:t>‑</w:t>
      </w:r>
      <w:r>
        <w:rPr>
          <w:rFonts w:ascii="Arial" w:cs="Arial" w:eastAsia="Arial" w:hAnsi="Arial"/>
          <w:sz w:val="18"/>
          <w:szCs w:val="18"/>
          <w:color w:val="auto"/>
        </w:rPr>
        <w:t>term election to reallocate a limited portion of their DCP holdings from phantom shares of the Company’s Class B Common Stock into other phantom investment funds. For further discussion of the aforementioned DCP reallocation, see Note 12 to the Company’s consolidated financial statements included in Part II, Item 8 of the Company’s 2021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4" w:lineRule="exact"/>
        <w:rPr>
          <w:sz w:val="20"/>
          <w:szCs w:val="20"/>
          <w:color w:val="auto"/>
        </w:rPr>
      </w:pPr>
    </w:p>
    <w:p>
      <w:pPr>
        <w:jc w:val="both"/>
        <w:spacing w:after="0" w:line="220" w:lineRule="exact"/>
        <w:rPr>
          <w:sz w:val="20"/>
          <w:szCs w:val="20"/>
          <w:color w:val="auto"/>
        </w:rPr>
      </w:pPr>
      <w:r>
        <w:rPr>
          <w:rFonts w:ascii="Arial" w:cs="Arial" w:eastAsia="Arial" w:hAnsi="Arial"/>
          <w:sz w:val="17"/>
          <w:szCs w:val="17"/>
          <w:color w:val="auto"/>
        </w:rPr>
        <w:t>DCP participants’ holdings in phantom investment funds and amounts in the DCP attributable to certain non</w:t>
      </w:r>
      <w:r>
        <w:rPr>
          <w:rFonts w:ascii="MS PGothic" w:cs="MS PGothic" w:eastAsia="MS PGothic" w:hAnsi="MS PGothic"/>
          <w:sz w:val="17"/>
          <w:szCs w:val="17"/>
          <w:color w:val="auto"/>
        </w:rPr>
        <w:t>‑</w:t>
      </w:r>
      <w:r>
        <w:rPr>
          <w:rFonts w:ascii="Arial" w:cs="Arial" w:eastAsia="Arial" w:hAnsi="Arial"/>
          <w:sz w:val="17"/>
          <w:szCs w:val="17"/>
          <w:color w:val="auto"/>
        </w:rPr>
        <w:t xml:space="preserve">colleague participants are classified as liabilities in either </w:t>
      </w:r>
      <w:r>
        <w:rPr>
          <w:rFonts w:ascii="Arial" w:cs="Arial" w:eastAsia="Arial" w:hAnsi="Arial"/>
          <w:sz w:val="17"/>
          <w:szCs w:val="17"/>
          <w:i w:val="1"/>
          <w:iCs w:val="1"/>
          <w:color w:val="auto"/>
        </w:rPr>
        <w:t>Accruals and other current liabilities</w:t>
      </w:r>
      <w:r>
        <w:rPr>
          <w:rFonts w:ascii="Arial" w:cs="Arial" w:eastAsia="Arial" w:hAnsi="Arial"/>
          <w:sz w:val="17"/>
          <w:szCs w:val="17"/>
          <w:color w:val="auto"/>
        </w:rPr>
        <w:t xml:space="preserve"> or </w:t>
      </w:r>
      <w:r>
        <w:rPr>
          <w:rFonts w:ascii="Arial" w:cs="Arial" w:eastAsia="Arial" w:hAnsi="Arial"/>
          <w:sz w:val="17"/>
          <w:szCs w:val="17"/>
          <w:i w:val="1"/>
          <w:iCs w:val="1"/>
          <w:color w:val="auto"/>
        </w:rPr>
        <w:t>Deferred compensation plan liabilities</w:t>
      </w:r>
      <w:r>
        <w:rPr>
          <w:rFonts w:ascii="Arial" w:cs="Arial" w:eastAsia="Arial" w:hAnsi="Arial"/>
          <w:sz w:val="17"/>
          <w:szCs w:val="17"/>
          <w:color w:val="auto"/>
        </w:rPr>
        <w:t xml:space="preserve"> in the consolidated balance sheets as they will be settled in cash upon eventual distribution. The deferred compensation plan liabilities are marked to market at the end of each reporting period, with changes in the liabilities recorded as an expense (income) to </w:t>
      </w:r>
      <w:r>
        <w:rPr>
          <w:rFonts w:ascii="Arial" w:cs="Arial" w:eastAsia="Arial" w:hAnsi="Arial"/>
          <w:sz w:val="17"/>
          <w:szCs w:val="17"/>
          <w:i w:val="1"/>
          <w:iCs w:val="1"/>
          <w:color w:val="auto"/>
        </w:rPr>
        <w:t>Deferred compensation plan</w:t>
      </w:r>
      <w:r>
        <w:rPr>
          <w:rFonts w:ascii="Arial" w:cs="Arial" w:eastAsia="Arial" w:hAnsi="Arial"/>
          <w:sz w:val="17"/>
          <w:szCs w:val="17"/>
          <w:color w:val="auto"/>
        </w:rPr>
        <w:t xml:space="preserve"> in the consolidated statements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Deferred compensation plan </w:t>
      </w:r>
      <w:r>
        <w:rPr>
          <w:rFonts w:ascii="Arial" w:cs="Arial" w:eastAsia="Arial" w:hAnsi="Arial"/>
          <w:sz w:val="18"/>
          <w:szCs w:val="18"/>
          <w:color w:val="auto"/>
        </w:rPr>
        <w:t>(income) expense was $(5,138) and $167 for the three months ended March 31, 2022 and 2021, respectively.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March 31, 2022 and 2021, DCP elective participant deferrals were $669 and $854, respectively. No discretionary contributions were made to the DCP during the three months ended March 31, 2022 and 2021. As of March 31, 2022 and December 31, 2021, phantom shares of the Company’s Class B Common Stock issuable by the DCP were 24,111,988 and 25,384,449,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total liabilities related to the DCP is included in the consolidated balance sheets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31, 2022</w:t>
            </w:r>
          </w:p>
        </w:tc>
        <w:tc>
          <w:tcPr>
            <w:tcW w:w="200" w:type="dxa"/>
            <w:vAlign w:val="bottom"/>
          </w:tcPr>
          <w:p>
            <w:pPr>
              <w:spacing w:after="0"/>
              <w:rPr>
                <w:sz w:val="18"/>
                <w:szCs w:val="18"/>
                <w:color w:val="auto"/>
              </w:rPr>
            </w:pPr>
          </w:p>
        </w:tc>
        <w:tc>
          <w:tcPr>
            <w:tcW w:w="1740" w:type="dxa"/>
            <w:vAlign w:val="bottom"/>
          </w:tcPr>
          <w:p>
            <w:pPr>
              <w:jc w:val="right"/>
              <w:ind w:right="232"/>
              <w:spacing w:after="0"/>
              <w:rPr>
                <w:sz w:val="20"/>
                <w:szCs w:val="20"/>
                <w:color w:val="auto"/>
              </w:rPr>
            </w:pPr>
            <w:r>
              <w:rPr>
                <w:rFonts w:ascii="Arial" w:cs="Arial" w:eastAsia="Arial" w:hAnsi="Arial"/>
                <w:sz w:val="16"/>
                <w:szCs w:val="16"/>
                <w:b w:val="1"/>
                <w:bCs w:val="1"/>
                <w:color w:val="auto"/>
                <w:w w:val="97"/>
              </w:rPr>
              <w:t>December 31, 2021</w:t>
            </w:r>
          </w:p>
        </w:tc>
      </w:tr>
      <w:tr>
        <w:trPr>
          <w:trHeight w:val="226"/>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Accruals and other current liabilities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7,779</w:t>
            </w:r>
          </w:p>
        </w:tc>
        <w:tc>
          <w:tcPr>
            <w:tcW w:w="2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7,309</w:t>
            </w:r>
          </w:p>
        </w:tc>
      </w:tr>
      <w:tr>
        <w:trPr>
          <w:trHeight w:val="230"/>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compensation plan liabilities</w:t>
            </w: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89,282</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94,890</w:t>
            </w: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DCP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97,061</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102,199</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Issuances, Sales, and Repurchases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three months ended March 31, 2022, the Company issued 1,401,249 shares of Class B Common Stock to colleagues who exercised their stock options, net of 314,659 shares withheld at exercise to pay for the cost of the stock options, as well as for $7,651 of applicable income tax withholdings. The Company received $2,768 in proceeds from the exercise of stock options. For the three months ended March 31, 2021, the Company issued 1,263,121 shares of Class B Common Stock to colleagues who exercised their stock options, net of 262,210 shares withheld at exercise to pay for the cost of the stock options, as well as for $7,158 of applicable income tax withholdings. The Company received $1,751 in proceeds from the exercise of stock options.</w:t>
      </w:r>
    </w:p>
    <w:p>
      <w:pPr>
        <w:spacing w:after="0" w:line="19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For the three months ended March 31, 2022, the Company issued 149,855 shares of Class B Common Stock related to the exercise of acquisition options (see Note 15), net of 585,145 shares withheld at exercise to pay for the cost of the options. The Company did not receive any proceeds from the exercise of these options.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three months ended March 31, 2022 and 2021, the Company issued 72,105 and 79,961 shares of Class B Common Stock, respectively, in connection with Bonus Plan incentive compensation, net of shares withheld. Of the total 128,496 shares awarded for the three months ended March 31, 2022, 56,391 shares were sold back to the Company in the same period to pay for applicable income tax withholdings of $2,192. Of the total 126,038 shares awarded for the three months ended March 31, 2021, 46,077 shares were sold back to the Company in the same period to pay for applicable income tax withholdings of $2,037.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8" w:name="page29"/>
    <w:bookmarkEnd w:id="28"/>
    <w:p>
      <w:pPr>
        <w:jc w:val="both"/>
        <w:spacing w:after="0" w:line="257" w:lineRule="auto"/>
        <w:rPr>
          <w:sz w:val="20"/>
          <w:szCs w:val="20"/>
          <w:color w:val="auto"/>
        </w:rPr>
      </w:pPr>
      <w:r>
        <w:rPr>
          <w:rFonts w:ascii="Arial" w:cs="Arial" w:eastAsia="Arial" w:hAnsi="Arial"/>
          <w:sz w:val="18"/>
          <w:szCs w:val="18"/>
          <w:color w:val="auto"/>
        </w:rPr>
        <w:t>For the three months ended March 31, 2022 and 2021, the Company issued 809,751 and 339,503 shares of Class B Common Stock, respectively, to DCP participants in connection with distributions from the plan. The distribution in shares for the three months ended March 31, 2022 totaled 1,310,061 shares of which 500,310 shares were sold back to the Company in the same period to pay for applicable income tax withholdings of $24,246. The distribution in shares for the three months ended March 31, 2021 totaled 556,475 shares of which 216,972 shares were sold back to the Company in the same period to pay for applicable income tax withholdings of $8,859.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declared cash dividends during the periods presented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4"/>
              </w:rPr>
              <w:t>Dividend</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8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0"/>
              </w:rPr>
              <w:t>Per Share</w:t>
            </w:r>
          </w:p>
        </w:tc>
        <w:tc>
          <w:tcPr>
            <w:tcW w:w="260" w:type="dxa"/>
            <w:vAlign w:val="bottom"/>
          </w:tcPr>
          <w:p>
            <w:pPr>
              <w:spacing w:after="0"/>
              <w:rPr>
                <w:sz w:val="19"/>
                <w:szCs w:val="19"/>
                <w:color w:val="auto"/>
              </w:rPr>
            </w:pPr>
          </w:p>
        </w:tc>
        <w:tc>
          <w:tcPr>
            <w:tcW w:w="1180" w:type="dxa"/>
            <w:vAlign w:val="bottom"/>
          </w:tcPr>
          <w:p>
            <w:pPr>
              <w:jc w:val="right"/>
              <w:ind w:right="353"/>
              <w:spacing w:after="0"/>
              <w:rPr>
                <w:sz w:val="20"/>
                <w:szCs w:val="20"/>
                <w:color w:val="auto"/>
              </w:rPr>
            </w:pPr>
            <w:r>
              <w:rPr>
                <w:rFonts w:ascii="Arial" w:cs="Arial" w:eastAsia="Arial" w:hAnsi="Arial"/>
                <w:sz w:val="16"/>
                <w:szCs w:val="16"/>
                <w:b w:val="1"/>
                <w:bCs w:val="1"/>
                <w:color w:val="auto"/>
              </w:rPr>
              <w:t>Amount</w:t>
            </w:r>
          </w:p>
        </w:tc>
      </w:tr>
      <w:tr>
        <w:trPr>
          <w:trHeight w:val="212"/>
        </w:trPr>
        <w:tc>
          <w:tcPr>
            <w:tcW w:w="8100" w:type="dxa"/>
            <w:vAlign w:val="bottom"/>
            <w:tcBorders>
              <w:top w:val="single" w:sz="8" w:color="CCEEFF"/>
            </w:tcBorders>
            <w:shd w:val="clear" w:color="auto" w:fill="CCEEFF"/>
          </w:tcPr>
          <w:p>
            <w:pPr>
              <w:jc w:val="right"/>
              <w:ind w:right="7570"/>
              <w:spacing w:after="0"/>
              <w:rPr>
                <w:sz w:val="20"/>
                <w:szCs w:val="20"/>
                <w:color w:val="auto"/>
              </w:rPr>
            </w:pPr>
            <w:r>
              <w:rPr>
                <w:rFonts w:ascii="Arial" w:cs="Arial" w:eastAsia="Arial" w:hAnsi="Arial"/>
                <w:sz w:val="18"/>
                <w:szCs w:val="18"/>
                <w:b w:val="1"/>
                <w:bCs w:val="1"/>
                <w:color w:val="auto"/>
                <w:w w:val="91"/>
              </w:rPr>
              <w:t>2022:</w:t>
            </w: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70"/>
        </w:trPr>
        <w:tc>
          <w:tcPr>
            <w:tcW w:w="8100" w:type="dxa"/>
            <w:vAlign w:val="bottom"/>
          </w:tcPr>
          <w:p>
            <w:pPr>
              <w:jc w:val="right"/>
              <w:ind w:right="6930"/>
              <w:spacing w:after="0"/>
              <w:rPr>
                <w:sz w:val="20"/>
                <w:szCs w:val="20"/>
                <w:color w:val="auto"/>
              </w:rPr>
            </w:pPr>
            <w:r>
              <w:rPr>
                <w:rFonts w:ascii="Arial" w:cs="Arial" w:eastAsia="Arial" w:hAnsi="Arial"/>
                <w:sz w:val="18"/>
                <w:szCs w:val="18"/>
                <w:color w:val="auto"/>
              </w:rPr>
              <w:t>First quarter</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0.03</w:t>
            </w:r>
          </w:p>
        </w:tc>
        <w:tc>
          <w:tcPr>
            <w:tcW w:w="26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8,353</w:t>
            </w:r>
          </w:p>
        </w:tc>
      </w:tr>
      <w:tr>
        <w:trPr>
          <w:trHeight w:val="229"/>
        </w:trPr>
        <w:tc>
          <w:tcPr>
            <w:tcW w:w="8100" w:type="dxa"/>
            <w:vAlign w:val="bottom"/>
            <w:shd w:val="clear" w:color="auto" w:fill="CCEEFF"/>
          </w:tcPr>
          <w:p>
            <w:pPr>
              <w:jc w:val="right"/>
              <w:ind w:right="7570"/>
              <w:spacing w:after="0"/>
              <w:rPr>
                <w:sz w:val="20"/>
                <w:szCs w:val="20"/>
                <w:color w:val="auto"/>
              </w:rPr>
            </w:pPr>
            <w:r>
              <w:rPr>
                <w:rFonts w:ascii="Arial" w:cs="Arial" w:eastAsia="Arial" w:hAnsi="Arial"/>
                <w:sz w:val="18"/>
                <w:szCs w:val="18"/>
                <w:b w:val="1"/>
                <w:bCs w:val="1"/>
                <w:color w:val="auto"/>
                <w:w w:val="91"/>
              </w:rPr>
              <w:t>2021:</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70"/>
        </w:trPr>
        <w:tc>
          <w:tcPr>
            <w:tcW w:w="8100" w:type="dxa"/>
            <w:vAlign w:val="bottom"/>
          </w:tcPr>
          <w:p>
            <w:pPr>
              <w:jc w:val="right"/>
              <w:ind w:right="6930"/>
              <w:spacing w:after="0"/>
              <w:rPr>
                <w:sz w:val="20"/>
                <w:szCs w:val="20"/>
                <w:color w:val="auto"/>
              </w:rPr>
            </w:pPr>
            <w:r>
              <w:rPr>
                <w:rFonts w:ascii="Arial" w:cs="Arial" w:eastAsia="Arial" w:hAnsi="Arial"/>
                <w:sz w:val="18"/>
                <w:szCs w:val="18"/>
                <w:color w:val="auto"/>
              </w:rPr>
              <w:t>First quarter</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0.03</w:t>
            </w:r>
          </w:p>
        </w:tc>
        <w:tc>
          <w:tcPr>
            <w:tcW w:w="26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8,219</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Employee Stock Purchase Plan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The Bentley Systems, Incorporated Global Employee Stock Purchase Plan (the “ESPP”) provides eligible colleagues of the Company with an opportunity to contribute up to 15% of their eligible compensation toward the purchase of the Company’s Class B Common Stock at a discounted price, up to a maximum of $25 per year and subject to any other plan limitations. Unless otherwise determined by the board of directors, offering periods will run from January 1st (or the first trading day thereafter) through June 30th (or the first trading day prior to such date), and from July 1st (or the first trading day thereafter) through December 31st (or the first trading day prior to such date). The purchase price per share at which shares of Class B Common Stock are sold in an offering period under the ESPP will be equal to the lesser of 85% of the fair market value of a share of Class B Common Stock (i) on the first trading day of the offering period, or (ii) on the purchase date (i.e., the last trading day of the purchase period). During the three months ended March 31, 2022, colleagues who elected to participate in the ESPP purchased a total of 109,749 shares of Class B Common Stock, net of shares withheld, resulting in cash proceeds to the Company of $4,611. Of the total 112,249 shares purchased, 2,500 shares were sold back to the Company to pay for applicable income tax withholdings of $121. During the three months ended March 31, 2021, no shares were issued under the ESPP. As of March 31, 2022 and December 31, 2021, $3,118 and $4,818 of ESPP withholding via colleague payroll deduction were recorded in </w:t>
      </w:r>
      <w:r>
        <w:rPr>
          <w:rFonts w:ascii="Arial" w:cs="Arial" w:eastAsia="Arial" w:hAnsi="Arial"/>
          <w:sz w:val="17"/>
          <w:szCs w:val="17"/>
          <w:i w:val="1"/>
          <w:iCs w:val="1"/>
          <w:color w:val="auto"/>
        </w:rPr>
        <w:t>Accruals and other current liabilities</w:t>
      </w:r>
      <w:r>
        <w:rPr>
          <w:rFonts w:ascii="Arial" w:cs="Arial" w:eastAsia="Arial" w:hAnsi="Arial"/>
          <w:sz w:val="17"/>
          <w:szCs w:val="17"/>
          <w:color w:val="auto"/>
        </w:rPr>
        <w:t xml:space="preserve"> in the consolidated balance sheets,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Note 14: Accumulated Other Comprehensive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loss consists of the following during the three months ended March 31, 2022 and 2021:</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1"/>
              </w:rPr>
              <w:t>Foreign</w:t>
            </w:r>
          </w:p>
        </w:tc>
        <w:tc>
          <w:tcPr>
            <w:tcW w:w="180" w:type="dxa"/>
            <w:vAlign w:val="bottom"/>
          </w:tcPr>
          <w:p>
            <w:pPr>
              <w:spacing w:after="0"/>
              <w:rPr>
                <w:sz w:val="18"/>
                <w:szCs w:val="18"/>
                <w:color w:val="auto"/>
              </w:rPr>
            </w:pPr>
          </w:p>
        </w:tc>
        <w:tc>
          <w:tcPr>
            <w:tcW w:w="174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w w:val="92"/>
              </w:rPr>
              <w:t>Actuarial (Loss)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3"/>
              </w:rPr>
              <w:t>Currency</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90"/>
              </w:rPr>
              <w:t>Gain on</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w w:val="92"/>
              </w:rPr>
              <w:t>Translation</w:t>
            </w:r>
          </w:p>
        </w:tc>
        <w:tc>
          <w:tcPr>
            <w:tcW w:w="180" w:type="dxa"/>
            <w:vAlign w:val="bottom"/>
          </w:tcPr>
          <w:p>
            <w:pPr>
              <w:spacing w:after="0"/>
              <w:rPr>
                <w:sz w:val="19"/>
                <w:szCs w:val="19"/>
                <w:color w:val="auto"/>
              </w:rPr>
            </w:pPr>
          </w:p>
        </w:tc>
        <w:tc>
          <w:tcPr>
            <w:tcW w:w="1740" w:type="dxa"/>
            <w:vAlign w:val="bottom"/>
            <w:gridSpan w:val="5"/>
          </w:tcPr>
          <w:p>
            <w:pPr>
              <w:jc w:val="center"/>
              <w:ind w:right="440"/>
              <w:spacing w:after="0"/>
              <w:rPr>
                <w:sz w:val="20"/>
                <w:szCs w:val="20"/>
                <w:color w:val="auto"/>
              </w:rPr>
            </w:pPr>
            <w:r>
              <w:rPr>
                <w:rFonts w:ascii="Arial" w:cs="Arial" w:eastAsia="Arial" w:hAnsi="Arial"/>
                <w:sz w:val="16"/>
                <w:szCs w:val="16"/>
                <w:b w:val="1"/>
                <w:bCs w:val="1"/>
                <w:color w:val="auto"/>
                <w:w w:val="93"/>
              </w:rPr>
              <w:t>Retirement Plan</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5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6"/>
        </w:trPr>
        <w:tc>
          <w:tcPr>
            <w:tcW w:w="57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December 31, 2021</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(90,867)</w:t>
            </w:r>
          </w:p>
        </w:tc>
        <w:tc>
          <w:tcPr>
            <w:tcW w:w="2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2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(91,774)</w:t>
            </w:r>
          </w:p>
        </w:tc>
        <w:tc>
          <w:tcPr>
            <w:tcW w:w="0" w:type="dxa"/>
            <w:vAlign w:val="bottom"/>
          </w:tcPr>
          <w:p>
            <w:pPr>
              <w:spacing w:after="0"/>
              <w:rPr>
                <w:sz w:val="1"/>
                <w:szCs w:val="1"/>
                <w:color w:val="auto"/>
              </w:rPr>
            </w:pPr>
          </w:p>
        </w:tc>
      </w:tr>
      <w:tr>
        <w:trPr>
          <w:trHeight w:val="250"/>
        </w:trPr>
        <w:tc>
          <w:tcPr>
            <w:tcW w:w="5700" w:type="dxa"/>
            <w:vAlign w:val="bottom"/>
            <w:gridSpan w:val="2"/>
          </w:tcPr>
          <w:p>
            <w:pPr>
              <w:ind w:left="180"/>
              <w:spacing w:after="0"/>
              <w:rPr>
                <w:sz w:val="20"/>
                <w:szCs w:val="20"/>
                <w:color w:val="auto"/>
              </w:rPr>
            </w:pPr>
            <w:r>
              <w:rPr>
                <w:rFonts w:ascii="Arial" w:cs="Arial" w:eastAsia="Arial" w:hAnsi="Arial"/>
                <w:sz w:val="18"/>
                <w:szCs w:val="18"/>
                <w:color w:val="auto"/>
              </w:rPr>
              <w:t>Other comprehensive income, before taxes</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16,437</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16,455</w:t>
            </w:r>
          </w:p>
        </w:tc>
        <w:tc>
          <w:tcPr>
            <w:tcW w:w="0" w:type="dxa"/>
            <w:vAlign w:val="bottom"/>
          </w:tcPr>
          <w:p>
            <w:pPr>
              <w:spacing w:after="0"/>
              <w:rPr>
                <w:sz w:val="1"/>
                <w:szCs w:val="1"/>
                <w:color w:val="auto"/>
              </w:rPr>
            </w:pPr>
          </w:p>
        </w:tc>
      </w:tr>
      <w:tr>
        <w:trPr>
          <w:trHeight w:val="270"/>
        </w:trPr>
        <w:tc>
          <w:tcPr>
            <w:tcW w:w="5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Tax expense</w:t>
            </w:r>
          </w:p>
        </w:tc>
        <w:tc>
          <w:tcPr>
            <w:tcW w:w="28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0"/>
        </w:trPr>
        <w:tc>
          <w:tcPr>
            <w:tcW w:w="57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Other comprehensive income, net of taxes</w:t>
            </w:r>
          </w:p>
        </w:tc>
        <w:tc>
          <w:tcPr>
            <w:tcW w:w="28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16,437</w:t>
            </w:r>
          </w:p>
        </w:tc>
        <w:tc>
          <w:tcPr>
            <w:tcW w:w="2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16,450</w:t>
            </w:r>
          </w:p>
        </w:tc>
        <w:tc>
          <w:tcPr>
            <w:tcW w:w="0" w:type="dxa"/>
            <w:vAlign w:val="bottom"/>
          </w:tcPr>
          <w:p>
            <w:pPr>
              <w:spacing w:after="0"/>
              <w:rPr>
                <w:sz w:val="1"/>
                <w:szCs w:val="1"/>
                <w:color w:val="auto"/>
              </w:rPr>
            </w:pPr>
          </w:p>
        </w:tc>
      </w:tr>
      <w:tr>
        <w:trPr>
          <w:trHeight w:val="248"/>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March 31, 2022</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(74,430)</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(75,324)</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30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1"/>
              </w:rPr>
              <w:t>Foreign</w:t>
            </w:r>
          </w:p>
        </w:tc>
        <w:tc>
          <w:tcPr>
            <w:tcW w:w="180" w:type="dxa"/>
            <w:vAlign w:val="bottom"/>
          </w:tcPr>
          <w:p>
            <w:pPr>
              <w:spacing w:after="0"/>
              <w:rPr>
                <w:sz w:val="24"/>
                <w:szCs w:val="24"/>
                <w:color w:val="auto"/>
              </w:rPr>
            </w:pPr>
          </w:p>
        </w:tc>
        <w:tc>
          <w:tcPr>
            <w:tcW w:w="174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w w:val="92"/>
              </w:rPr>
              <w:t>Actuarial (Loss)</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3"/>
              </w:rPr>
              <w:t>Currency</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90"/>
              </w:rPr>
              <w:t>Gain on</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w w:val="92"/>
              </w:rPr>
              <w:t>Translation</w:t>
            </w:r>
          </w:p>
        </w:tc>
        <w:tc>
          <w:tcPr>
            <w:tcW w:w="180" w:type="dxa"/>
            <w:vAlign w:val="bottom"/>
          </w:tcPr>
          <w:p>
            <w:pPr>
              <w:spacing w:after="0"/>
              <w:rPr>
                <w:sz w:val="19"/>
                <w:szCs w:val="19"/>
                <w:color w:val="auto"/>
              </w:rPr>
            </w:pPr>
          </w:p>
        </w:tc>
        <w:tc>
          <w:tcPr>
            <w:tcW w:w="1740" w:type="dxa"/>
            <w:vAlign w:val="bottom"/>
            <w:gridSpan w:val="5"/>
          </w:tcPr>
          <w:p>
            <w:pPr>
              <w:jc w:val="center"/>
              <w:ind w:right="440"/>
              <w:spacing w:after="0"/>
              <w:rPr>
                <w:sz w:val="20"/>
                <w:szCs w:val="20"/>
                <w:color w:val="auto"/>
              </w:rPr>
            </w:pPr>
            <w:r>
              <w:rPr>
                <w:rFonts w:ascii="Arial" w:cs="Arial" w:eastAsia="Arial" w:hAnsi="Arial"/>
                <w:sz w:val="16"/>
                <w:szCs w:val="16"/>
                <w:b w:val="1"/>
                <w:bCs w:val="1"/>
                <w:color w:val="auto"/>
                <w:w w:val="93"/>
              </w:rPr>
              <w:t>Retirement Plan</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5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6"/>
        </w:trPr>
        <w:tc>
          <w:tcPr>
            <w:tcW w:w="57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(25,219)</w:t>
            </w:r>
          </w:p>
        </w:tc>
        <w:tc>
          <w:tcPr>
            <w:tcW w:w="2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(1,014)</w:t>
            </w:r>
          </w:p>
        </w:tc>
        <w:tc>
          <w:tcPr>
            <w:tcW w:w="2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(26,233)</w:t>
            </w:r>
          </w:p>
        </w:tc>
        <w:tc>
          <w:tcPr>
            <w:tcW w:w="0" w:type="dxa"/>
            <w:vAlign w:val="bottom"/>
          </w:tcPr>
          <w:p>
            <w:pPr>
              <w:spacing w:after="0"/>
              <w:rPr>
                <w:sz w:val="1"/>
                <w:szCs w:val="1"/>
                <w:color w:val="auto"/>
              </w:rPr>
            </w:pPr>
          </w:p>
        </w:tc>
      </w:tr>
      <w:tr>
        <w:trPr>
          <w:trHeight w:val="250"/>
        </w:trPr>
        <w:tc>
          <w:tcPr>
            <w:tcW w:w="5700" w:type="dxa"/>
            <w:vAlign w:val="bottom"/>
            <w:gridSpan w:val="2"/>
          </w:tcPr>
          <w:p>
            <w:pPr>
              <w:ind w:left="180"/>
              <w:spacing w:after="0"/>
              <w:rPr>
                <w:sz w:val="20"/>
                <w:szCs w:val="20"/>
                <w:color w:val="auto"/>
              </w:rPr>
            </w:pPr>
            <w:r>
              <w:rPr>
                <w:rFonts w:ascii="Arial" w:cs="Arial" w:eastAsia="Arial" w:hAnsi="Arial"/>
                <w:sz w:val="18"/>
                <w:szCs w:val="18"/>
                <w:color w:val="auto"/>
              </w:rPr>
              <w:t>Other comprehensive (loss) income, before taxes</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(9,182)</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(9,153)</w:t>
            </w:r>
          </w:p>
        </w:tc>
        <w:tc>
          <w:tcPr>
            <w:tcW w:w="0" w:type="dxa"/>
            <w:vAlign w:val="bottom"/>
          </w:tcPr>
          <w:p>
            <w:pPr>
              <w:spacing w:after="0"/>
              <w:rPr>
                <w:sz w:val="1"/>
                <w:szCs w:val="1"/>
                <w:color w:val="auto"/>
              </w:rPr>
            </w:pPr>
          </w:p>
        </w:tc>
      </w:tr>
      <w:tr>
        <w:trPr>
          <w:trHeight w:val="270"/>
        </w:trPr>
        <w:tc>
          <w:tcPr>
            <w:tcW w:w="5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Tax expense</w:t>
            </w:r>
          </w:p>
        </w:tc>
        <w:tc>
          <w:tcPr>
            <w:tcW w:w="28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0"/>
        </w:trPr>
        <w:tc>
          <w:tcPr>
            <w:tcW w:w="57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Other comprehensive (loss) income, net of taxes</w:t>
            </w:r>
          </w:p>
        </w:tc>
        <w:tc>
          <w:tcPr>
            <w:tcW w:w="28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(9,182)</w:t>
            </w:r>
          </w:p>
        </w:tc>
        <w:tc>
          <w:tcPr>
            <w:tcW w:w="2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(9,161)</w:t>
            </w:r>
          </w:p>
        </w:tc>
        <w:tc>
          <w:tcPr>
            <w:tcW w:w="0" w:type="dxa"/>
            <w:vAlign w:val="bottom"/>
          </w:tcPr>
          <w:p>
            <w:pPr>
              <w:spacing w:after="0"/>
              <w:rPr>
                <w:sz w:val="1"/>
                <w:szCs w:val="1"/>
                <w:color w:val="auto"/>
              </w:rPr>
            </w:pPr>
          </w:p>
        </w:tc>
      </w:tr>
      <w:tr>
        <w:trPr>
          <w:trHeight w:val="248"/>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March 31, 2021</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(34,401)</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(35,394)</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Note 15: Equity Awards and Instruments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57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Stock-Based Compensation Expense</w:t>
            </w: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700" w:type="dxa"/>
            <w:vAlign w:val="bottom"/>
            <w:gridSpan w:val="2"/>
          </w:tcPr>
          <w:p>
            <w:pPr>
              <w:spacing w:after="0" w:line="207" w:lineRule="exact"/>
              <w:rPr>
                <w:sz w:val="20"/>
                <w:szCs w:val="20"/>
                <w:color w:val="auto"/>
              </w:rPr>
            </w:pPr>
            <w:r>
              <w:rPr>
                <w:rFonts w:ascii="Arial" w:cs="Arial" w:eastAsia="Arial" w:hAnsi="Arial"/>
                <w:sz w:val="18"/>
                <w:szCs w:val="18"/>
                <w:color w:val="auto"/>
              </w:rPr>
              <w:t>Total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was as follows:</w:t>
            </w: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0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80" w:type="dxa"/>
            <w:vAlign w:val="bottom"/>
            <w:gridSpan w:val="6"/>
          </w:tcPr>
          <w:p>
            <w:pPr>
              <w:jc w:val="right"/>
              <w:ind w:right="751"/>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9"/>
        </w:trPr>
        <w:tc>
          <w:tcPr>
            <w:tcW w:w="30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6"/>
                <w:szCs w:val="16"/>
                <w:b w:val="1"/>
                <w:bCs w:val="1"/>
                <w:color w:val="auto"/>
                <w:w w:val="94"/>
              </w:rPr>
              <w:t>March 31,</w:t>
            </w: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00" w:type="dxa"/>
            <w:vAlign w:val="bottom"/>
            <w:tcBorders>
              <w:bottom w:val="single" w:sz="8" w:color="CCEEFF"/>
            </w:tcBorders>
          </w:tcPr>
          <w:p>
            <w:pPr>
              <w:spacing w:after="0"/>
              <w:rPr>
                <w:sz w:val="18"/>
                <w:szCs w:val="18"/>
                <w:color w:val="auto"/>
              </w:rPr>
            </w:pPr>
          </w:p>
        </w:tc>
        <w:tc>
          <w:tcPr>
            <w:tcW w:w="27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gridSpan w:val="2"/>
          </w:tcPr>
          <w:p>
            <w:pPr>
              <w:jc w:val="right"/>
              <w:ind w:right="231"/>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26"/>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Bonus Plan expense (see Note 11)</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5"/>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8,161</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6,124</w:t>
            </w:r>
          </w:p>
        </w:tc>
        <w:tc>
          <w:tcPr>
            <w:tcW w:w="0" w:type="dxa"/>
            <w:vAlign w:val="bottom"/>
          </w:tcPr>
          <w:p>
            <w:pPr>
              <w:spacing w:after="0"/>
              <w:rPr>
                <w:sz w:val="1"/>
                <w:szCs w:val="1"/>
                <w:color w:val="auto"/>
              </w:rPr>
            </w:pPr>
          </w:p>
        </w:tc>
      </w:tr>
      <w:tr>
        <w:trPr>
          <w:trHeight w:val="270"/>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 xml:space="preserve">Restricted stock and restricted stock units (“RSUs”) expense </w:t>
            </w:r>
            <w:r>
              <w:rPr>
                <w:rFonts w:ascii="Arial" w:cs="Arial" w:eastAsia="Arial" w:hAnsi="Arial"/>
                <w:sz w:val="23"/>
                <w:szCs w:val="23"/>
                <w:color w:val="auto"/>
                <w:vertAlign w:val="superscript"/>
              </w:rPr>
              <w:t>(1)</w:t>
            </w:r>
          </w:p>
        </w:tc>
        <w:tc>
          <w:tcPr>
            <w:tcW w:w="2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5,365</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1,497</w:t>
            </w:r>
          </w:p>
        </w:tc>
        <w:tc>
          <w:tcPr>
            <w:tcW w:w="0" w:type="dxa"/>
            <w:vAlign w:val="bottom"/>
          </w:tcPr>
          <w:p>
            <w:pPr>
              <w:spacing w:after="0"/>
              <w:rPr>
                <w:sz w:val="1"/>
                <w:szCs w:val="1"/>
                <w:color w:val="auto"/>
              </w:rPr>
            </w:pPr>
          </w:p>
        </w:tc>
      </w:tr>
      <w:tr>
        <w:trPr>
          <w:trHeight w:val="230"/>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 option expense</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30"/>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ESPP expense (see Note 13)</w:t>
            </w: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680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70"/>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DCP elective participant deferrals expense </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(see Note 12)</w:t>
            </w:r>
          </w:p>
        </w:tc>
        <w:tc>
          <w:tcPr>
            <w:tcW w:w="2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700" w:type="dxa"/>
            <w:vAlign w:val="bottom"/>
            <w:gridSpan w:val="2"/>
          </w:tcPr>
          <w:p>
            <w:pPr>
              <w:ind w:left="20"/>
              <w:spacing w:after="0" w:line="223" w:lineRule="exact"/>
              <w:rPr>
                <w:sz w:val="20"/>
                <w:szCs w:val="20"/>
                <w:color w:val="auto"/>
              </w:rPr>
            </w:pPr>
            <w:r>
              <w:rPr>
                <w:rFonts w:ascii="Arial" w:cs="Arial" w:eastAsia="Arial" w:hAnsi="Arial"/>
                <w:sz w:val="18"/>
                <w:szCs w:val="18"/>
                <w:color w:val="auto"/>
              </w:rPr>
              <w:t xml:space="preserve">Total stock-based compensation expense </w:t>
            </w:r>
            <w:r>
              <w:rPr>
                <w:rFonts w:ascii="Arial" w:cs="Arial" w:eastAsia="Arial" w:hAnsi="Arial"/>
                <w:sz w:val="23"/>
                <w:szCs w:val="23"/>
                <w:color w:val="auto"/>
                <w:vertAlign w:val="superscript"/>
              </w:rPr>
              <w:t>(3)</w:t>
            </w: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bottom w:val="single" w:sz="8" w:color="auto"/>
            </w:tcBorders>
          </w:tcPr>
          <w:p>
            <w:pPr>
              <w:jc w:val="right"/>
              <w:ind w:right="475"/>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15,099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9,068</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000" w:type="dxa"/>
            <w:vAlign w:val="bottom"/>
            <w:tcBorders>
              <w:bottom w:val="single" w:sz="8" w:color="auto"/>
            </w:tcBorders>
          </w:tcPr>
          <w:p>
            <w:pPr>
              <w:spacing w:after="0"/>
              <w:rPr>
                <w:sz w:val="18"/>
                <w:szCs w:val="18"/>
                <w:color w:val="auto"/>
              </w:rPr>
            </w:pPr>
          </w:p>
        </w:tc>
        <w:tc>
          <w:tcPr>
            <w:tcW w:w="2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320" w:hanging="312"/>
        <w:spacing w:after="0" w:line="207" w:lineRule="exact"/>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acquisition</w:t>
      </w:r>
      <w:r>
        <w:rPr>
          <w:rFonts w:ascii="MS PGothic" w:cs="MS PGothic" w:eastAsia="MS PGothic" w:hAnsi="MS PGothic"/>
          <w:sz w:val="18"/>
          <w:szCs w:val="18"/>
          <w:color w:val="auto"/>
        </w:rPr>
        <w:t>‑</w:t>
      </w:r>
      <w:r>
        <w:rPr>
          <w:rFonts w:ascii="Arial" w:cs="Arial" w:eastAsia="Arial" w:hAnsi="Arial"/>
          <w:sz w:val="18"/>
          <w:szCs w:val="18"/>
          <w:color w:val="auto"/>
        </w:rPr>
        <w:t>related shares for the three months ended March 31, 2022 (see Note 4).</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DCP elective participant deferrals expense excludes deferred incentive bonus payable pursuant to the Bonus Plan.</w:t>
      </w:r>
    </w:p>
    <w:p>
      <w:pPr>
        <w:spacing w:after="0" w:line="225" w:lineRule="exact"/>
        <w:rPr>
          <w:rFonts w:ascii="Arial" w:cs="Arial" w:eastAsia="Arial" w:hAnsi="Arial"/>
          <w:sz w:val="18"/>
          <w:szCs w:val="18"/>
          <w:color w:val="auto"/>
        </w:rPr>
      </w:pPr>
    </w:p>
    <w:p>
      <w:pPr>
        <w:ind w:left="340" w:hanging="332"/>
        <w:spacing w:after="0" w:line="277" w:lineRule="auto"/>
        <w:tabs>
          <w:tab w:leader="none" w:pos="334"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As of March 31, 2022 and December 31, 2021, $8,658 and $6,749 remained in </w:t>
      </w:r>
      <w:r>
        <w:rPr>
          <w:rFonts w:ascii="Arial" w:cs="Arial" w:eastAsia="Arial" w:hAnsi="Arial"/>
          <w:sz w:val="18"/>
          <w:szCs w:val="18"/>
          <w:i w:val="1"/>
          <w:iCs w:val="1"/>
          <w:color w:val="auto"/>
        </w:rPr>
        <w:t>Accruals and other current liabilities</w:t>
      </w:r>
      <w:r>
        <w:rPr>
          <w:rFonts w:ascii="Arial" w:cs="Arial" w:eastAsia="Arial" w:hAnsi="Arial"/>
          <w:sz w:val="18"/>
          <w:szCs w:val="18"/>
          <w:color w:val="auto"/>
        </w:rPr>
        <w:t xml:space="preserve"> in the consolidated balance sheets,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0" w:name="page31"/>
    <w:bookmarkEnd w:id="30"/>
    <w:p>
      <w:pPr>
        <w:spacing w:after="0" w:line="207" w:lineRule="exact"/>
        <w:rPr>
          <w:sz w:val="20"/>
          <w:szCs w:val="20"/>
          <w:color w:val="auto"/>
        </w:rPr>
      </w:pPr>
      <w:r>
        <w:rPr>
          <w:rFonts w:ascii="Arial" w:cs="Arial" w:eastAsia="Arial" w:hAnsi="Arial"/>
          <w:sz w:val="18"/>
          <w:szCs w:val="18"/>
          <w:color w:val="auto"/>
        </w:rPr>
        <w:t>Total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is included in the consolidated statements of operations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20" w:type="dxa"/>
            <w:vAlign w:val="bottom"/>
            <w:gridSpan w:val="4"/>
          </w:tcPr>
          <w:p>
            <w:pPr>
              <w:jc w:val="right"/>
              <w:ind w:right="751"/>
              <w:spacing w:after="0"/>
              <w:rPr>
                <w:sz w:val="20"/>
                <w:szCs w:val="20"/>
                <w:color w:val="auto"/>
              </w:rPr>
            </w:pPr>
            <w:r>
              <w:rPr>
                <w:rFonts w:ascii="Arial" w:cs="Arial" w:eastAsia="Arial" w:hAnsi="Arial"/>
                <w:sz w:val="16"/>
                <w:szCs w:val="16"/>
                <w:b w:val="1"/>
                <w:bCs w:val="1"/>
                <w:color w:val="auto"/>
              </w:rPr>
              <w:t>Three Months Ended</w:t>
            </w:r>
          </w:p>
        </w:tc>
      </w:tr>
      <w:tr>
        <w:trPr>
          <w:trHeight w:val="219"/>
        </w:trPr>
        <w:tc>
          <w:tcPr>
            <w:tcW w:w="8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6"/>
                <w:szCs w:val="16"/>
                <w:b w:val="1"/>
                <w:bCs w:val="1"/>
                <w:color w:val="auto"/>
              </w:rPr>
              <w:t>March 31,</w:t>
            </w:r>
          </w:p>
        </w:tc>
        <w:tc>
          <w:tcPr>
            <w:tcW w:w="1060" w:type="dxa"/>
            <w:vAlign w:val="bottom"/>
            <w:tcBorders>
              <w:bottom w:val="single" w:sz="8" w:color="auto"/>
            </w:tcBorders>
          </w:tcPr>
          <w:p>
            <w:pPr>
              <w:spacing w:after="0"/>
              <w:rPr>
                <w:sz w:val="19"/>
                <w:szCs w:val="19"/>
                <w:color w:val="auto"/>
              </w:rPr>
            </w:pPr>
          </w:p>
        </w:tc>
      </w:tr>
      <w:tr>
        <w:trPr>
          <w:trHeight w:val="210"/>
        </w:trPr>
        <w:tc>
          <w:tcPr>
            <w:tcW w:w="8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2021</w:t>
            </w:r>
          </w:p>
        </w:tc>
      </w:tr>
      <w:tr>
        <w:trPr>
          <w:trHeight w:val="226"/>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subscriptions and licenses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Cost of services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383</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5,395</w:t>
            </w: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3,955</w:t>
            </w: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1,454</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788</w:t>
            </w: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7,482</w:t>
            </w:r>
          </w:p>
        </w:tc>
        <w:tc>
          <w:tcPr>
            <w:tcW w:w="2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3,993</w:t>
            </w:r>
          </w:p>
        </w:tc>
      </w:tr>
      <w:tr>
        <w:trPr>
          <w:trHeight w:val="223"/>
        </w:trPr>
        <w:tc>
          <w:tcPr>
            <w:tcW w:w="810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15,099</w:t>
            </w:r>
          </w:p>
        </w:tc>
        <w:tc>
          <w:tcPr>
            <w:tcW w:w="26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9,068</w:t>
            </w:r>
          </w:p>
        </w:tc>
      </w:tr>
      <w:tr>
        <w:trPr>
          <w:trHeight w:val="21"/>
        </w:trPr>
        <w:tc>
          <w:tcPr>
            <w:tcW w:w="8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is measured at the grant date fair value of the award and is recognized ratably over the requisite service period, which is generally the vesting period. Specifically for performance</w:t>
      </w:r>
      <w:r>
        <w:rPr>
          <w:rFonts w:ascii="MS PGothic" w:cs="MS PGothic" w:eastAsia="MS PGothic" w:hAnsi="MS PGothic"/>
          <w:sz w:val="18"/>
          <w:szCs w:val="18"/>
          <w:color w:val="auto"/>
        </w:rPr>
        <w:t>‑</w:t>
      </w:r>
      <w:r>
        <w:rPr>
          <w:rFonts w:ascii="Arial" w:cs="Arial" w:eastAsia="Arial" w:hAnsi="Arial"/>
          <w:sz w:val="18"/>
          <w:szCs w:val="18"/>
          <w:color w:val="auto"/>
        </w:rPr>
        <w:t>based RSUs,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is measured at the grant date fair value of the award and is recognized ratably over the requisite service period based on the number of awards expected to vest at each reporting date. The Company accounts for forfeitures of equity awards as those forfeitures occur.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stock option activity and related information under the Company’s applicable equity incentive plans: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Weighted</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1"/>
              </w:rPr>
              <w:t>Weighted</w:t>
            </w:r>
          </w:p>
        </w:tc>
        <w:tc>
          <w:tcPr>
            <w:tcW w:w="17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Average</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8"/>
              </w:rPr>
              <w:t>Average</w:t>
            </w:r>
          </w:p>
        </w:tc>
        <w:tc>
          <w:tcPr>
            <w:tcW w:w="17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Remaining</w:t>
            </w:r>
          </w:p>
        </w:tc>
        <w:tc>
          <w:tcPr>
            <w:tcW w:w="240" w:type="dxa"/>
            <w:vAlign w:val="bottom"/>
          </w:tcPr>
          <w:p>
            <w:pPr>
              <w:spacing w:after="0"/>
              <w:rPr>
                <w:sz w:val="18"/>
                <w:szCs w:val="18"/>
                <w:color w:val="auto"/>
              </w:rPr>
            </w:pPr>
          </w:p>
        </w:tc>
        <w:tc>
          <w:tcPr>
            <w:tcW w:w="1200" w:type="dxa"/>
            <w:vAlign w:val="bottom"/>
          </w:tcPr>
          <w:p>
            <w:pPr>
              <w:jc w:val="center"/>
              <w:ind w:right="155"/>
              <w:spacing w:after="0"/>
              <w:rPr>
                <w:sz w:val="20"/>
                <w:szCs w:val="20"/>
                <w:color w:val="auto"/>
              </w:rPr>
            </w:pPr>
            <w:r>
              <w:rPr>
                <w:rFonts w:ascii="Arial" w:cs="Arial" w:eastAsia="Arial" w:hAnsi="Arial"/>
                <w:sz w:val="16"/>
                <w:szCs w:val="16"/>
                <w:b w:val="1"/>
                <w:bCs w:val="1"/>
                <w:color w:val="auto"/>
                <w:w w:val="90"/>
              </w:rPr>
              <w:t>Aggregate</w:t>
            </w:r>
          </w:p>
        </w:tc>
      </w:tr>
      <w:tr>
        <w:trPr>
          <w:trHeight w:val="216"/>
        </w:trPr>
        <w:tc>
          <w:tcPr>
            <w:tcW w:w="470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Stock</w:t>
            </w:r>
          </w:p>
        </w:tc>
        <w:tc>
          <w:tcPr>
            <w:tcW w:w="18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9"/>
              </w:rPr>
              <w:t>Exercise Price</w:t>
            </w:r>
          </w:p>
        </w:tc>
        <w:tc>
          <w:tcPr>
            <w:tcW w:w="17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Contractual</w:t>
            </w:r>
          </w:p>
        </w:tc>
        <w:tc>
          <w:tcPr>
            <w:tcW w:w="240" w:type="dxa"/>
            <w:vAlign w:val="bottom"/>
          </w:tcPr>
          <w:p>
            <w:pPr>
              <w:spacing w:after="0"/>
              <w:rPr>
                <w:sz w:val="18"/>
                <w:szCs w:val="18"/>
                <w:color w:val="auto"/>
              </w:rPr>
            </w:pPr>
          </w:p>
        </w:tc>
        <w:tc>
          <w:tcPr>
            <w:tcW w:w="1200" w:type="dxa"/>
            <w:vAlign w:val="bottom"/>
          </w:tcPr>
          <w:p>
            <w:pPr>
              <w:jc w:val="center"/>
              <w:ind w:right="155"/>
              <w:spacing w:after="0"/>
              <w:rPr>
                <w:sz w:val="20"/>
                <w:szCs w:val="20"/>
                <w:color w:val="auto"/>
              </w:rPr>
            </w:pPr>
            <w:r>
              <w:rPr>
                <w:rFonts w:ascii="Arial" w:cs="Arial" w:eastAsia="Arial" w:hAnsi="Arial"/>
                <w:sz w:val="16"/>
                <w:szCs w:val="16"/>
                <w:b w:val="1"/>
                <w:bCs w:val="1"/>
                <w:color w:val="auto"/>
                <w:w w:val="96"/>
              </w:rPr>
              <w:t>Intrinsic</w:t>
            </w:r>
          </w:p>
        </w:tc>
      </w:tr>
      <w:tr>
        <w:trPr>
          <w:trHeight w:val="219"/>
        </w:trPr>
        <w:tc>
          <w:tcPr>
            <w:tcW w:w="4700" w:type="dxa"/>
            <w:vAlign w:val="bottom"/>
          </w:tcPr>
          <w:p>
            <w:pPr>
              <w:spacing w:after="0"/>
              <w:rPr>
                <w:sz w:val="19"/>
                <w:szCs w:val="19"/>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Options</w:t>
            </w:r>
          </w:p>
        </w:tc>
        <w:tc>
          <w:tcPr>
            <w:tcW w:w="180" w:type="dxa"/>
            <w:vAlign w:val="bottom"/>
          </w:tcPr>
          <w:p>
            <w:pPr>
              <w:spacing w:after="0"/>
              <w:rPr>
                <w:sz w:val="19"/>
                <w:szCs w:val="19"/>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0"/>
              </w:rPr>
              <w:t>Per Share</w:t>
            </w:r>
          </w:p>
        </w:tc>
        <w:tc>
          <w:tcPr>
            <w:tcW w:w="17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Life (in years)</w:t>
            </w:r>
          </w:p>
        </w:tc>
        <w:tc>
          <w:tcPr>
            <w:tcW w:w="240" w:type="dxa"/>
            <w:vAlign w:val="bottom"/>
          </w:tcPr>
          <w:p>
            <w:pPr>
              <w:spacing w:after="0"/>
              <w:rPr>
                <w:sz w:val="19"/>
                <w:szCs w:val="19"/>
                <w:color w:val="auto"/>
              </w:rPr>
            </w:pPr>
          </w:p>
        </w:tc>
        <w:tc>
          <w:tcPr>
            <w:tcW w:w="1200" w:type="dxa"/>
            <w:vAlign w:val="bottom"/>
          </w:tcPr>
          <w:p>
            <w:pPr>
              <w:jc w:val="center"/>
              <w:ind w:right="155"/>
              <w:spacing w:after="0"/>
              <w:rPr>
                <w:sz w:val="20"/>
                <w:szCs w:val="20"/>
                <w:color w:val="auto"/>
              </w:rPr>
            </w:pPr>
            <w:r>
              <w:rPr>
                <w:rFonts w:ascii="Arial" w:cs="Arial" w:eastAsia="Arial" w:hAnsi="Arial"/>
                <w:sz w:val="16"/>
                <w:szCs w:val="16"/>
                <w:b w:val="1"/>
                <w:bCs w:val="1"/>
                <w:color w:val="auto"/>
                <w:w w:val="93"/>
              </w:rPr>
              <w:t>Value</w:t>
            </w:r>
          </w:p>
        </w:tc>
      </w:tr>
      <w:tr>
        <w:trPr>
          <w:trHeight w:val="226"/>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2021</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6,917,925</w:t>
            </w:r>
          </w:p>
        </w:tc>
        <w:tc>
          <w:tcPr>
            <w:tcW w:w="2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26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r>
      <w:tr>
        <w:trPr>
          <w:trHeight w:val="270"/>
        </w:trPr>
        <w:tc>
          <w:tcPr>
            <w:tcW w:w="470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460" w:type="dxa"/>
            <w:vAlign w:val="bottom"/>
          </w:tcPr>
          <w:p>
            <w:pPr>
              <w:jc w:val="right"/>
              <w:spacing w:after="0"/>
              <w:rPr>
                <w:sz w:val="20"/>
                <w:szCs w:val="20"/>
                <w:color w:val="auto"/>
              </w:rPr>
            </w:pPr>
            <w:r>
              <w:rPr>
                <w:rFonts w:ascii="Arial" w:cs="Arial" w:eastAsia="Arial" w:hAnsi="Arial"/>
                <w:sz w:val="18"/>
                <w:szCs w:val="18"/>
                <w:color w:val="auto"/>
              </w:rPr>
              <w:t>(1,715,908)</w:t>
            </w: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4.42</w:t>
            </w:r>
          </w:p>
        </w:tc>
        <w:tc>
          <w:tcPr>
            <w:tcW w:w="2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(25,125)</w:t>
            </w:r>
          </w:p>
        </w:tc>
        <w:tc>
          <w:tcPr>
            <w:tcW w:w="2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2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Outstanding, March 31, 2022</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5,176,892</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260" w:type="dxa"/>
            <w:vAlign w:val="bottom"/>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1.6</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200,026</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9"/>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March 31, 2022</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3,144,392</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1.6</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121,455</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March 31, 2022 and 2021, the Company received cash proceeds of $2,768 and $1,751, respectively, related to the exercise of stock options. The total intrinsic value of stock options exercised for the three months ended March 31, 2022 and 2021 was $62,025 and $61,267, respectively.</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2022, there was $1,873 of unrecognized compensation expense related to unvested stock options, which is expected to be recognized over a weighted average period of approximately 0.9 years.</w:t>
      </w:r>
    </w:p>
    <w:p>
      <w:pPr>
        <w:spacing w:after="0" w:line="170"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i w:val="1"/>
          <w:iCs w:val="1"/>
          <w:color w:val="auto"/>
        </w:rPr>
        <w:t xml:space="preserve">Acquisition Options </w:t>
      </w:r>
      <w:r>
        <w:rPr>
          <w:rFonts w:ascii="Arial" w:cs="Arial" w:eastAsia="Arial" w:hAnsi="Arial"/>
          <w:sz w:val="18"/>
          <w:szCs w:val="18"/>
          <w:color w:val="auto"/>
        </w:rPr>
        <w:t>— In addition to stock options granted under the Company’s equity incentive plans, in connection with an acquisition completed in</w:t>
      </w:r>
      <w:r>
        <w:rPr>
          <w:rFonts w:ascii="Arial" w:cs="Arial" w:eastAsia="Arial" w:hAnsi="Arial"/>
          <w:sz w:val="18"/>
          <w:szCs w:val="18"/>
          <w:i w:val="1"/>
          <w:iCs w:val="1"/>
          <w:color w:val="auto"/>
        </w:rPr>
        <w:t xml:space="preserve"> </w:t>
      </w:r>
      <w:r>
        <w:rPr>
          <w:rFonts w:ascii="Arial" w:cs="Arial" w:eastAsia="Arial" w:hAnsi="Arial"/>
          <w:sz w:val="18"/>
          <w:szCs w:val="18"/>
          <w:color w:val="auto"/>
        </w:rPr>
        <w:t>March 2018, the Company issued to certain selling shareholder entities options to acquire an aggregate of up to 900,000 shares of Class B Common Stock. The options have a five</w:t>
      </w:r>
      <w:r>
        <w:rPr>
          <w:rFonts w:ascii="MS PGothic" w:cs="MS PGothic" w:eastAsia="MS PGothic" w:hAnsi="MS PGothic"/>
          <w:sz w:val="18"/>
          <w:szCs w:val="18"/>
          <w:color w:val="auto"/>
        </w:rPr>
        <w:t>‑</w:t>
      </w:r>
      <w:r>
        <w:rPr>
          <w:rFonts w:ascii="Arial" w:cs="Arial" w:eastAsia="Arial" w:hAnsi="Arial"/>
          <w:sz w:val="18"/>
          <w:szCs w:val="18"/>
          <w:color w:val="auto"/>
        </w:rPr>
        <w:t>year term, were exercisable on March 27, 2022, and have an initial exercise price of $6.805 per share. The exercise price of the options is subject to a cap and collar adjustment mechanism that automatically reduces (but not to less than $0.01) or increases the exercise price based on the difference between the exercise price and the fair market value of the Company’s Class B Common Stock on the exercise date. During the three months ended March 31, 2022, 735,000 shares were exercised. As of March 31, 2022, 165,000 shares remain outstanding and have an aggregate intrinsic value of $1,465.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Restricted Stock and RSUs</w:t>
      </w:r>
    </w:p>
    <w:p>
      <w:pPr>
        <w:spacing w:after="0" w:line="225"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Under the equity incentive plans, the Company may grant both time</w:t>
      </w:r>
      <w:r>
        <w:rPr>
          <w:rFonts w:ascii="MS PGothic" w:cs="MS PGothic" w:eastAsia="MS PGothic" w:hAnsi="MS PGothic"/>
          <w:sz w:val="18"/>
          <w:szCs w:val="18"/>
          <w:color w:val="auto"/>
        </w:rPr>
        <w:t>‑</w:t>
      </w:r>
      <w:r>
        <w:rPr>
          <w:rFonts w:ascii="Arial" w:cs="Arial" w:eastAsia="Arial" w:hAnsi="Arial"/>
          <w:sz w:val="18"/>
          <w:szCs w:val="18"/>
          <w:color w:val="auto"/>
        </w:rPr>
        <w:t>based and performance</w:t>
      </w:r>
      <w:r>
        <w:rPr>
          <w:rFonts w:ascii="MS PGothic" w:cs="MS PGothic" w:eastAsia="MS PGothic" w:hAnsi="MS PGothic"/>
          <w:sz w:val="18"/>
          <w:szCs w:val="18"/>
          <w:color w:val="auto"/>
        </w:rPr>
        <w:t>‑</w:t>
      </w:r>
      <w:r>
        <w:rPr>
          <w:rFonts w:ascii="Arial" w:cs="Arial" w:eastAsia="Arial" w:hAnsi="Arial"/>
          <w:sz w:val="18"/>
          <w:szCs w:val="18"/>
          <w:color w:val="auto"/>
        </w:rPr>
        <w:t>based shares of restricted Class B Common Stock and RSUs to eligible colleagues. Time</w:t>
      </w:r>
      <w:r>
        <w:rPr>
          <w:rFonts w:ascii="MS PGothic" w:cs="MS PGothic" w:eastAsia="MS PGothic" w:hAnsi="MS PGothic"/>
          <w:sz w:val="18"/>
          <w:szCs w:val="18"/>
          <w:color w:val="auto"/>
        </w:rPr>
        <w:t>‑</w:t>
      </w:r>
      <w:r>
        <w:rPr>
          <w:rFonts w:ascii="Arial" w:cs="Arial" w:eastAsia="Arial" w:hAnsi="Arial"/>
          <w:sz w:val="18"/>
          <w:szCs w:val="18"/>
          <w:color w:val="auto"/>
        </w:rPr>
        <w:t>based awards generally vest ratably on each of the first four anniversaries of the grant date. Performance</w:t>
      </w:r>
      <w:r>
        <w:rPr>
          <w:rFonts w:ascii="MS PGothic" w:cs="MS PGothic" w:eastAsia="MS PGothic" w:hAnsi="MS PGothic"/>
          <w:sz w:val="18"/>
          <w:szCs w:val="18"/>
          <w:color w:val="auto"/>
        </w:rPr>
        <w:t>‑</w:t>
      </w:r>
      <w:r>
        <w:rPr>
          <w:rFonts w:ascii="Arial" w:cs="Arial" w:eastAsia="Arial" w:hAnsi="Arial"/>
          <w:sz w:val="18"/>
          <w:szCs w:val="18"/>
          <w:color w:val="auto"/>
        </w:rPr>
        <w:t>based awards vesting is determined by the achievement of certain business profitability and growth targets, which include growth in annualized recurring revenues, as well as actual bookings for perpetual licenses and non</w:t>
      </w:r>
      <w:r>
        <w:rPr>
          <w:rFonts w:ascii="MS PGothic" w:cs="MS PGothic" w:eastAsia="MS PGothic" w:hAnsi="MS PGothic"/>
          <w:sz w:val="18"/>
          <w:szCs w:val="18"/>
          <w:color w:val="auto"/>
        </w:rPr>
        <w:t>‑</w:t>
      </w:r>
      <w:r>
        <w:rPr>
          <w:rFonts w:ascii="Arial" w:cs="Arial" w:eastAsia="Arial" w:hAnsi="Arial"/>
          <w:sz w:val="18"/>
          <w:szCs w:val="18"/>
          <w:color w:val="auto"/>
        </w:rPr>
        <w:t>recurring services, and certain non</w:t>
      </w:r>
      <w:r>
        <w:rPr>
          <w:rFonts w:ascii="MS PGothic" w:cs="MS PGothic" w:eastAsia="MS PGothic" w:hAnsi="MS PGothic"/>
          <w:sz w:val="18"/>
          <w:szCs w:val="18"/>
          <w:color w:val="auto"/>
        </w:rPr>
        <w:t>‑</w:t>
      </w:r>
      <w:r>
        <w:rPr>
          <w:rFonts w:ascii="Arial" w:cs="Arial" w:eastAsia="Arial" w:hAnsi="Arial"/>
          <w:sz w:val="18"/>
          <w:szCs w:val="18"/>
          <w:color w:val="auto"/>
        </w:rPr>
        <w:t>financial performance targets. Performance targets are generally set for annual performance periods.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unvested restricted stock and RSU activity and related information under the Company’s applicable equity incentive plans: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Time-</w:t>
            </w:r>
          </w:p>
        </w:tc>
        <w:tc>
          <w:tcPr>
            <w:tcW w:w="160" w:type="dxa"/>
            <w:vAlign w:val="bottom"/>
          </w:tcPr>
          <w:p>
            <w:pPr>
              <w:spacing w:after="0"/>
              <w:rPr>
                <w:sz w:val="16"/>
                <w:szCs w:val="16"/>
                <w:color w:val="auto"/>
              </w:rPr>
            </w:pPr>
          </w:p>
        </w:tc>
        <w:tc>
          <w:tcPr>
            <w:tcW w:w="1120" w:type="dxa"/>
            <w:vAlign w:val="bottom"/>
          </w:tcPr>
          <w:p>
            <w:pPr>
              <w:jc w:val="center"/>
              <w:ind w:right="81"/>
              <w:spacing w:after="0"/>
              <w:rPr>
                <w:sz w:val="20"/>
                <w:szCs w:val="20"/>
                <w:color w:val="auto"/>
              </w:rPr>
            </w:pPr>
            <w:r>
              <w:rPr>
                <w:rFonts w:ascii="Arial" w:cs="Arial" w:eastAsia="Arial" w:hAnsi="Arial"/>
                <w:sz w:val="14"/>
                <w:szCs w:val="14"/>
                <w:b w:val="1"/>
                <w:bCs w:val="1"/>
                <w:color w:val="auto"/>
                <w:w w:val="93"/>
              </w:rPr>
              <w:t>Performance-</w:t>
            </w:r>
          </w:p>
        </w:tc>
      </w:tr>
      <w:tr>
        <w:trPr>
          <w:trHeight w:val="189"/>
        </w:trPr>
        <w:tc>
          <w:tcPr>
            <w:tcW w:w="3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Based</w:t>
            </w:r>
          </w:p>
        </w:tc>
        <w:tc>
          <w:tcPr>
            <w:tcW w:w="160" w:type="dxa"/>
            <w:vAlign w:val="bottom"/>
          </w:tcPr>
          <w:p>
            <w:pPr>
              <w:spacing w:after="0"/>
              <w:rPr>
                <w:sz w:val="16"/>
                <w:szCs w:val="16"/>
                <w:color w:val="auto"/>
              </w:rPr>
            </w:pPr>
          </w:p>
        </w:tc>
        <w:tc>
          <w:tcPr>
            <w:tcW w:w="1120" w:type="dxa"/>
            <w:vAlign w:val="bottom"/>
          </w:tcPr>
          <w:p>
            <w:pPr>
              <w:jc w:val="center"/>
              <w:ind w:right="81"/>
              <w:spacing w:after="0"/>
              <w:rPr>
                <w:sz w:val="20"/>
                <w:szCs w:val="20"/>
                <w:color w:val="auto"/>
              </w:rPr>
            </w:pPr>
            <w:r>
              <w:rPr>
                <w:rFonts w:ascii="Arial" w:cs="Arial" w:eastAsia="Arial" w:hAnsi="Arial"/>
                <w:sz w:val="14"/>
                <w:szCs w:val="14"/>
                <w:b w:val="1"/>
                <w:bCs w:val="1"/>
                <w:color w:val="auto"/>
                <w:w w:val="85"/>
              </w:rPr>
              <w:t>Based</w:t>
            </w:r>
          </w:p>
        </w:tc>
      </w:tr>
      <w:tr>
        <w:trPr>
          <w:trHeight w:val="189"/>
        </w:trPr>
        <w:tc>
          <w:tcPr>
            <w:tcW w:w="3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Time-</w:t>
            </w:r>
          </w:p>
        </w:tc>
        <w:tc>
          <w:tcPr>
            <w:tcW w:w="44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5"/>
              </w:rPr>
              <w:t>Performance-</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6"/>
                <w:szCs w:val="16"/>
                <w:color w:val="auto"/>
              </w:rPr>
            </w:pPr>
          </w:p>
        </w:tc>
        <w:tc>
          <w:tcPr>
            <w:tcW w:w="1120" w:type="dxa"/>
            <w:vAlign w:val="bottom"/>
          </w:tcPr>
          <w:p>
            <w:pPr>
              <w:jc w:val="center"/>
              <w:ind w:right="81"/>
              <w:spacing w:after="0"/>
              <w:rPr>
                <w:sz w:val="20"/>
                <w:szCs w:val="20"/>
                <w:color w:val="auto"/>
              </w:rPr>
            </w:pPr>
            <w:r>
              <w:rPr>
                <w:rFonts w:ascii="Arial" w:cs="Arial" w:eastAsia="Arial" w:hAnsi="Arial"/>
                <w:sz w:val="14"/>
                <w:szCs w:val="14"/>
                <w:b w:val="1"/>
                <w:bCs w:val="1"/>
                <w:color w:val="auto"/>
                <w:w w:val="95"/>
              </w:rPr>
              <w:t>Weighted</w:t>
            </w:r>
          </w:p>
        </w:tc>
      </w:tr>
      <w:tr>
        <w:trPr>
          <w:trHeight w:val="189"/>
        </w:trPr>
        <w:tc>
          <w:tcPr>
            <w:tcW w:w="3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420" w:type="dxa"/>
            <w:vAlign w:val="bottom"/>
          </w:tcPr>
          <w:p>
            <w:pPr>
              <w:spacing w:after="0"/>
              <w:rPr>
                <w:sz w:val="16"/>
                <w:szCs w:val="16"/>
                <w:color w:val="auto"/>
              </w:rPr>
            </w:pPr>
          </w:p>
        </w:tc>
        <w:tc>
          <w:tcPr>
            <w:tcW w:w="1180" w:type="dxa"/>
            <w:vAlign w:val="bottom"/>
          </w:tcPr>
          <w:p>
            <w:pPr>
              <w:ind w:left="400"/>
              <w:spacing w:after="0"/>
              <w:rPr>
                <w:sz w:val="20"/>
                <w:szCs w:val="20"/>
                <w:color w:val="auto"/>
              </w:rPr>
            </w:pPr>
            <w:r>
              <w:rPr>
                <w:rFonts w:ascii="Arial" w:cs="Arial" w:eastAsia="Arial" w:hAnsi="Arial"/>
                <w:sz w:val="14"/>
                <w:szCs w:val="14"/>
                <w:b w:val="1"/>
                <w:bCs w:val="1"/>
                <w:color w:val="auto"/>
              </w:rPr>
              <w:t>Based</w:t>
            </w:r>
          </w:p>
        </w:tc>
        <w:tc>
          <w:tcPr>
            <w:tcW w:w="44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0"/>
              </w:rPr>
              <w:t>Based</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6"/>
                <w:szCs w:val="16"/>
                <w:color w:val="auto"/>
              </w:rPr>
            </w:pPr>
          </w:p>
        </w:tc>
        <w:tc>
          <w:tcPr>
            <w:tcW w:w="1120" w:type="dxa"/>
            <w:vAlign w:val="bottom"/>
          </w:tcPr>
          <w:p>
            <w:pPr>
              <w:jc w:val="center"/>
              <w:ind w:right="101"/>
              <w:spacing w:after="0"/>
              <w:rPr>
                <w:sz w:val="20"/>
                <w:szCs w:val="20"/>
                <w:color w:val="auto"/>
              </w:rPr>
            </w:pPr>
            <w:r>
              <w:rPr>
                <w:rFonts w:ascii="Arial" w:cs="Arial" w:eastAsia="Arial" w:hAnsi="Arial"/>
                <w:sz w:val="14"/>
                <w:szCs w:val="14"/>
                <w:b w:val="1"/>
                <w:bCs w:val="1"/>
                <w:color w:val="auto"/>
                <w:w w:val="90"/>
              </w:rPr>
              <w:t>Average</w:t>
            </w:r>
          </w:p>
        </w:tc>
      </w:tr>
      <w:tr>
        <w:trPr>
          <w:trHeight w:val="189"/>
        </w:trPr>
        <w:tc>
          <w:tcPr>
            <w:tcW w:w="3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0"/>
              </w:rPr>
              <w:t>Restricted</w:t>
            </w:r>
          </w:p>
        </w:tc>
        <w:tc>
          <w:tcPr>
            <w:tcW w:w="4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0"/>
              </w:rPr>
              <w:t>Restricted</w:t>
            </w:r>
          </w:p>
        </w:tc>
        <w:tc>
          <w:tcPr>
            <w:tcW w:w="44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0"/>
              </w:rPr>
              <w:t>Restricted</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Grant Date</w:t>
            </w:r>
          </w:p>
        </w:tc>
        <w:tc>
          <w:tcPr>
            <w:tcW w:w="160" w:type="dxa"/>
            <w:vAlign w:val="bottom"/>
          </w:tcPr>
          <w:p>
            <w:pPr>
              <w:spacing w:after="0"/>
              <w:rPr>
                <w:sz w:val="16"/>
                <w:szCs w:val="16"/>
                <w:color w:val="auto"/>
              </w:rPr>
            </w:pPr>
          </w:p>
        </w:tc>
        <w:tc>
          <w:tcPr>
            <w:tcW w:w="1120" w:type="dxa"/>
            <w:vAlign w:val="bottom"/>
          </w:tcPr>
          <w:p>
            <w:pPr>
              <w:jc w:val="center"/>
              <w:ind w:right="101"/>
              <w:spacing w:after="0"/>
              <w:rPr>
                <w:sz w:val="20"/>
                <w:szCs w:val="20"/>
                <w:color w:val="auto"/>
              </w:rPr>
            </w:pPr>
            <w:r>
              <w:rPr>
                <w:rFonts w:ascii="Arial" w:cs="Arial" w:eastAsia="Arial" w:hAnsi="Arial"/>
                <w:sz w:val="14"/>
                <w:szCs w:val="14"/>
                <w:b w:val="1"/>
                <w:bCs w:val="1"/>
                <w:color w:val="auto"/>
                <w:w w:val="97"/>
              </w:rPr>
              <w:t>Grant Date</w:t>
            </w:r>
          </w:p>
        </w:tc>
      </w:tr>
      <w:tr>
        <w:trPr>
          <w:trHeight w:val="189"/>
        </w:trPr>
        <w:tc>
          <w:tcPr>
            <w:tcW w:w="3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420" w:type="dxa"/>
            <w:vAlign w:val="bottom"/>
          </w:tcPr>
          <w:p>
            <w:pPr>
              <w:spacing w:after="0"/>
              <w:rPr>
                <w:sz w:val="16"/>
                <w:szCs w:val="16"/>
                <w:color w:val="auto"/>
              </w:rPr>
            </w:pPr>
          </w:p>
        </w:tc>
        <w:tc>
          <w:tcPr>
            <w:tcW w:w="1180" w:type="dxa"/>
            <w:vAlign w:val="bottom"/>
          </w:tcPr>
          <w:p>
            <w:pPr>
              <w:ind w:left="420"/>
              <w:spacing w:after="0"/>
              <w:rPr>
                <w:sz w:val="20"/>
                <w:szCs w:val="20"/>
                <w:color w:val="auto"/>
              </w:rPr>
            </w:pPr>
            <w:r>
              <w:rPr>
                <w:rFonts w:ascii="Arial" w:cs="Arial" w:eastAsia="Arial" w:hAnsi="Arial"/>
                <w:sz w:val="14"/>
                <w:szCs w:val="14"/>
                <w:b w:val="1"/>
                <w:bCs w:val="1"/>
                <w:color w:val="auto"/>
              </w:rPr>
              <w:t>Stock</w:t>
            </w:r>
          </w:p>
        </w:tc>
        <w:tc>
          <w:tcPr>
            <w:tcW w:w="44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6"/>
                <w:szCs w:val="16"/>
                <w:color w:val="auto"/>
              </w:rPr>
            </w:pPr>
          </w:p>
        </w:tc>
        <w:tc>
          <w:tcPr>
            <w:tcW w:w="1120" w:type="dxa"/>
            <w:vAlign w:val="bottom"/>
          </w:tcPr>
          <w:p>
            <w:pPr>
              <w:jc w:val="center"/>
              <w:ind w:right="81"/>
              <w:spacing w:after="0"/>
              <w:rPr>
                <w:sz w:val="20"/>
                <w:szCs w:val="20"/>
                <w:color w:val="auto"/>
              </w:rPr>
            </w:pPr>
            <w:r>
              <w:rPr>
                <w:rFonts w:ascii="Arial" w:cs="Arial" w:eastAsia="Arial" w:hAnsi="Arial"/>
                <w:sz w:val="14"/>
                <w:szCs w:val="14"/>
                <w:b w:val="1"/>
                <w:bCs w:val="1"/>
                <w:color w:val="auto"/>
                <w:w w:val="95"/>
              </w:rPr>
              <w:t>Fair Value</w:t>
            </w:r>
          </w:p>
        </w:tc>
      </w:tr>
      <w:tr>
        <w:trPr>
          <w:trHeight w:val="195"/>
        </w:trPr>
        <w:tc>
          <w:tcPr>
            <w:tcW w:w="3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3"/>
              </w:rPr>
              <w:t>and RSUs</w:t>
            </w:r>
          </w:p>
        </w:tc>
        <w:tc>
          <w:tcPr>
            <w:tcW w:w="4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3"/>
              </w:rPr>
              <w:t>and RSUs</w:t>
            </w:r>
          </w:p>
        </w:tc>
        <w:tc>
          <w:tcPr>
            <w:tcW w:w="44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3"/>
              </w:rPr>
              <w:t>and RSUs</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Per Share</w:t>
            </w:r>
          </w:p>
        </w:tc>
        <w:tc>
          <w:tcPr>
            <w:tcW w:w="160" w:type="dxa"/>
            <w:vAlign w:val="bottom"/>
          </w:tcPr>
          <w:p>
            <w:pPr>
              <w:spacing w:after="0"/>
              <w:rPr>
                <w:sz w:val="16"/>
                <w:szCs w:val="16"/>
                <w:color w:val="auto"/>
              </w:rPr>
            </w:pPr>
          </w:p>
        </w:tc>
        <w:tc>
          <w:tcPr>
            <w:tcW w:w="1120" w:type="dxa"/>
            <w:vAlign w:val="bottom"/>
          </w:tcPr>
          <w:p>
            <w:pPr>
              <w:jc w:val="center"/>
              <w:ind w:right="81"/>
              <w:spacing w:after="0"/>
              <w:rPr>
                <w:sz w:val="20"/>
                <w:szCs w:val="20"/>
                <w:color w:val="auto"/>
              </w:rPr>
            </w:pPr>
            <w:r>
              <w:rPr>
                <w:rFonts w:ascii="Arial" w:cs="Arial" w:eastAsia="Arial" w:hAnsi="Arial"/>
                <w:sz w:val="14"/>
                <w:szCs w:val="14"/>
                <w:b w:val="1"/>
                <w:bCs w:val="1"/>
                <w:color w:val="auto"/>
                <w:w w:val="91"/>
              </w:rPr>
              <w:t>Per Share</w:t>
            </w:r>
          </w:p>
        </w:tc>
      </w:tr>
      <w:tr>
        <w:trPr>
          <w:trHeight w:val="229"/>
        </w:trPr>
        <w:tc>
          <w:tcPr>
            <w:tcW w:w="35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Unvested, December 31, 2021</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1,708,545</w:t>
            </w:r>
          </w:p>
        </w:tc>
        <w:tc>
          <w:tcPr>
            <w:tcW w:w="4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94"/>
              </w:rPr>
              <w:t>1,611,862</w:t>
            </w:r>
          </w:p>
        </w:tc>
        <w:tc>
          <w:tcPr>
            <w:tcW w:w="44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96,683</w:t>
            </w:r>
          </w:p>
        </w:tc>
        <w:tc>
          <w:tcPr>
            <w:tcW w:w="500" w:type="dxa"/>
            <w:vAlign w:val="bottom"/>
            <w:tcBorders>
              <w:top w:val="single" w:sz="8" w:color="CCEEFF"/>
            </w:tcBorders>
            <w:shd w:val="clear" w:color="auto" w:fill="CCEEFF"/>
          </w:tcPr>
          <w:p>
            <w:pPr>
              <w:jc w:val="right"/>
              <w:ind w:right="302"/>
              <w:spacing w:after="0"/>
              <w:rPr>
                <w:sz w:val="20"/>
                <w:szCs w:val="20"/>
                <w:color w:val="auto"/>
              </w:rPr>
            </w:pPr>
            <w:r>
              <w:rPr>
                <w:rFonts w:ascii="Arial" w:cs="Arial" w:eastAsia="Arial" w:hAnsi="Arial"/>
                <w:sz w:val="12"/>
                <w:szCs w:val="12"/>
                <w:color w:val="auto"/>
                <w:w w:val="81"/>
              </w:rPr>
              <w:t>(4)</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32.81</w:t>
            </w:r>
          </w:p>
        </w:tc>
        <w:tc>
          <w:tcPr>
            <w:tcW w:w="2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49.93</w:t>
            </w:r>
          </w:p>
        </w:tc>
      </w:tr>
      <w:tr>
        <w:trPr>
          <w:trHeight w:val="270"/>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1180" w:type="dxa"/>
            <w:vAlign w:val="bottom"/>
          </w:tcPr>
          <w:p>
            <w:pPr>
              <w:jc w:val="right"/>
              <w:spacing w:after="0"/>
              <w:rPr>
                <w:sz w:val="20"/>
                <w:szCs w:val="20"/>
                <w:color w:val="auto"/>
              </w:rPr>
            </w:pPr>
            <w:r>
              <w:rPr>
                <w:rFonts w:ascii="Arial" w:cs="Arial" w:eastAsia="Arial" w:hAnsi="Arial"/>
                <w:sz w:val="18"/>
                <w:szCs w:val="18"/>
                <w:color w:val="auto"/>
              </w:rPr>
              <w:t>1,377,889</w:t>
            </w:r>
          </w:p>
        </w:tc>
        <w:tc>
          <w:tcPr>
            <w:tcW w:w="420" w:type="dxa"/>
            <w:vAlign w:val="bottom"/>
          </w:tcPr>
          <w:p>
            <w:pPr>
              <w:jc w:val="right"/>
              <w:ind w:right="222"/>
              <w:spacing w:after="0"/>
              <w:rPr>
                <w:sz w:val="20"/>
                <w:szCs w:val="20"/>
                <w:color w:val="auto"/>
              </w:rPr>
            </w:pPr>
            <w:r>
              <w:rPr>
                <w:rFonts w:ascii="Arial" w:cs="Arial" w:eastAsia="Arial" w:hAnsi="Arial"/>
                <w:sz w:val="12"/>
                <w:szCs w:val="12"/>
                <w:color w:val="auto"/>
                <w:w w:val="81"/>
              </w:rPr>
              <w:t>(1)</w:t>
            </w:r>
          </w:p>
        </w:tc>
        <w:tc>
          <w:tcPr>
            <w:tcW w:w="1180" w:type="dxa"/>
            <w:vAlign w:val="bottom"/>
          </w:tcPr>
          <w:p>
            <w:pPr>
              <w:ind w:left="380"/>
              <w:spacing w:after="0"/>
              <w:rPr>
                <w:sz w:val="20"/>
                <w:szCs w:val="20"/>
                <w:color w:val="auto"/>
              </w:rPr>
            </w:pPr>
            <w:r>
              <w:rPr>
                <w:rFonts w:ascii="Arial" w:cs="Arial" w:eastAsia="Arial" w:hAnsi="Arial"/>
                <w:sz w:val="18"/>
                <w:szCs w:val="18"/>
                <w:color w:val="auto"/>
                <w:w w:val="97"/>
              </w:rPr>
              <w:t>1,072,104</w:t>
            </w:r>
          </w:p>
        </w:tc>
        <w:tc>
          <w:tcPr>
            <w:tcW w:w="440" w:type="dxa"/>
            <w:vAlign w:val="bottom"/>
          </w:tcPr>
          <w:p>
            <w:pPr>
              <w:jc w:val="right"/>
              <w:ind w:right="222"/>
              <w:spacing w:after="0"/>
              <w:rPr>
                <w:sz w:val="20"/>
                <w:szCs w:val="20"/>
                <w:color w:val="auto"/>
              </w:rPr>
            </w:pPr>
            <w:r>
              <w:rPr>
                <w:rFonts w:ascii="Arial" w:cs="Arial" w:eastAsia="Arial" w:hAnsi="Arial"/>
                <w:sz w:val="12"/>
                <w:szCs w:val="12"/>
                <w:color w:val="auto"/>
                <w:w w:val="95"/>
              </w:rPr>
              <w:t>(3)</w:t>
            </w:r>
          </w:p>
        </w:tc>
        <w:tc>
          <w:tcPr>
            <w:tcW w:w="1280" w:type="dxa"/>
            <w:vAlign w:val="bottom"/>
          </w:tcPr>
          <w:p>
            <w:pPr>
              <w:jc w:val="right"/>
              <w:spacing w:after="0"/>
              <w:rPr>
                <w:sz w:val="20"/>
                <w:szCs w:val="20"/>
                <w:color w:val="auto"/>
              </w:rPr>
            </w:pPr>
            <w:r>
              <w:rPr>
                <w:rFonts w:ascii="Arial" w:cs="Arial" w:eastAsia="Arial" w:hAnsi="Arial"/>
                <w:sz w:val="18"/>
                <w:szCs w:val="18"/>
                <w:color w:val="auto"/>
              </w:rPr>
              <w:t>305,785</w:t>
            </w:r>
          </w:p>
        </w:tc>
        <w:tc>
          <w:tcPr>
            <w:tcW w:w="500" w:type="dxa"/>
            <w:vAlign w:val="bottom"/>
          </w:tcPr>
          <w:p>
            <w:pPr>
              <w:jc w:val="right"/>
              <w:ind w:right="302"/>
              <w:spacing w:after="0"/>
              <w:rPr>
                <w:sz w:val="20"/>
                <w:szCs w:val="20"/>
                <w:color w:val="auto"/>
              </w:rPr>
            </w:pPr>
            <w:r>
              <w:rPr>
                <w:rFonts w:ascii="Arial" w:cs="Arial" w:eastAsia="Arial" w:hAnsi="Arial"/>
                <w:sz w:val="12"/>
                <w:szCs w:val="12"/>
                <w:color w:val="auto"/>
                <w:w w:val="81"/>
              </w:rPr>
              <w:t>(5)</w:t>
            </w:r>
          </w:p>
        </w:tc>
        <w:tc>
          <w:tcPr>
            <w:tcW w:w="160" w:type="dxa"/>
            <w:vAlign w:val="bottom"/>
          </w:tcPr>
          <w:p>
            <w:pPr>
              <w:spacing w:after="0"/>
              <w:rPr>
                <w:sz w:val="23"/>
                <w:szCs w:val="23"/>
                <w:color w:val="auto"/>
              </w:rPr>
            </w:pPr>
          </w:p>
        </w:tc>
        <w:tc>
          <w:tcPr>
            <w:tcW w:w="980" w:type="dxa"/>
            <w:vAlign w:val="bottom"/>
          </w:tcPr>
          <w:p>
            <w:pPr>
              <w:jc w:val="right"/>
              <w:ind w:right="21"/>
              <w:spacing w:after="0"/>
              <w:rPr>
                <w:sz w:val="20"/>
                <w:szCs w:val="20"/>
                <w:color w:val="auto"/>
              </w:rPr>
            </w:pPr>
            <w:r>
              <w:rPr>
                <w:rFonts w:ascii="Arial" w:cs="Arial" w:eastAsia="Arial" w:hAnsi="Arial"/>
                <w:sz w:val="18"/>
                <w:szCs w:val="18"/>
                <w:color w:val="auto"/>
              </w:rPr>
              <w:t>39.26</w:t>
            </w: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ind w:right="21"/>
              <w:spacing w:after="0"/>
              <w:rPr>
                <w:sz w:val="20"/>
                <w:szCs w:val="20"/>
                <w:color w:val="auto"/>
              </w:rPr>
            </w:pPr>
            <w:r>
              <w:rPr>
                <w:rFonts w:ascii="Arial" w:cs="Arial" w:eastAsia="Arial" w:hAnsi="Arial"/>
                <w:sz w:val="18"/>
                <w:szCs w:val="18"/>
                <w:color w:val="auto"/>
              </w:rPr>
              <w:t>39.26</w:t>
            </w:r>
          </w:p>
        </w:tc>
      </w:tr>
      <w:tr>
        <w:trPr>
          <w:trHeight w:val="270"/>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(95,877)</w:t>
            </w:r>
          </w:p>
        </w:tc>
        <w:tc>
          <w:tcPr>
            <w:tcW w:w="4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(4,707)</w:t>
            </w:r>
          </w:p>
        </w:tc>
        <w:tc>
          <w:tcPr>
            <w:tcW w:w="440" w:type="dxa"/>
            <w:vAlign w:val="bottom"/>
            <w:shd w:val="clear" w:color="auto" w:fill="CCEEFF"/>
          </w:tcPr>
          <w:p>
            <w:pPr>
              <w:spacing w:after="0"/>
              <w:rPr>
                <w:sz w:val="23"/>
                <w:szCs w:val="23"/>
                <w:color w:val="auto"/>
              </w:rPr>
            </w:pPr>
          </w:p>
        </w:tc>
        <w:tc>
          <w:tcPr>
            <w:tcW w:w="1780" w:type="dxa"/>
            <w:vAlign w:val="bottom"/>
            <w:gridSpan w:val="2"/>
            <w:shd w:val="clear" w:color="auto" w:fill="CCEEFF"/>
          </w:tcPr>
          <w:p>
            <w:pPr>
              <w:jc w:val="right"/>
              <w:ind w:right="302"/>
              <w:spacing w:after="0"/>
              <w:rPr>
                <w:sz w:val="20"/>
                <w:szCs w:val="20"/>
                <w:color w:val="auto"/>
              </w:rPr>
            </w:pPr>
            <w:r>
              <w:rPr>
                <w:rFonts w:ascii="Arial" w:cs="Arial" w:eastAsia="Arial" w:hAnsi="Arial"/>
                <w:sz w:val="18"/>
                <w:szCs w:val="18"/>
                <w:color w:val="auto"/>
              </w:rPr>
              <w:t xml:space="preserve">(91,170) </w:t>
            </w:r>
            <w:r>
              <w:rPr>
                <w:rFonts w:ascii="Arial" w:cs="Arial" w:eastAsia="Arial" w:hAnsi="Arial"/>
                <w:sz w:val="23"/>
                <w:szCs w:val="23"/>
                <w:color w:val="auto"/>
                <w:vertAlign w:val="superscript"/>
              </w:rPr>
              <w:t>(4)</w:t>
            </w: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44.20</w:t>
            </w:r>
          </w:p>
        </w:tc>
        <w:tc>
          <w:tcPr>
            <w:tcW w:w="2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49.93</w:t>
            </w:r>
          </w:p>
        </w:tc>
      </w:tr>
      <w:tr>
        <w:trPr>
          <w:trHeight w:val="270"/>
        </w:trPr>
        <w:tc>
          <w:tcPr>
            <w:tcW w:w="35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Forfeited</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(20,044)</w:t>
            </w:r>
          </w:p>
        </w:tc>
        <w:tc>
          <w:tcPr>
            <w:tcW w:w="420" w:type="dxa"/>
            <w:vAlign w:val="bottom"/>
            <w:tcBorders>
              <w:bottom w:val="single" w:sz="8" w:color="CCEEFF"/>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(14,531)</w:t>
            </w:r>
          </w:p>
        </w:tc>
        <w:tc>
          <w:tcPr>
            <w:tcW w:w="440" w:type="dxa"/>
            <w:vAlign w:val="bottom"/>
            <w:tcBorders>
              <w:bottom w:val="single" w:sz="8" w:color="CCEEFF"/>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(5,513)</w:t>
            </w:r>
          </w:p>
        </w:tc>
        <w:tc>
          <w:tcPr>
            <w:tcW w:w="50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980" w:type="dxa"/>
            <w:vAlign w:val="bottom"/>
            <w:tcBorders>
              <w:bottom w:val="single" w:sz="8" w:color="CCEEFF"/>
            </w:tcBorders>
          </w:tcPr>
          <w:p>
            <w:pPr>
              <w:jc w:val="right"/>
              <w:ind w:right="1"/>
              <w:spacing w:after="0"/>
              <w:rPr>
                <w:sz w:val="20"/>
                <w:szCs w:val="20"/>
                <w:color w:val="auto"/>
              </w:rPr>
            </w:pPr>
            <w:r>
              <w:rPr>
                <w:rFonts w:ascii="Arial" w:cs="Arial" w:eastAsia="Arial" w:hAnsi="Arial"/>
                <w:sz w:val="18"/>
                <w:szCs w:val="18"/>
                <w:color w:val="auto"/>
              </w:rPr>
              <w:t>39.27</w:t>
            </w:r>
          </w:p>
        </w:tc>
        <w:tc>
          <w:tcPr>
            <w:tcW w:w="26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120" w:type="dxa"/>
            <w:vAlign w:val="bottom"/>
            <w:tcBorders>
              <w:bottom w:val="single" w:sz="8" w:color="CCEEFF"/>
            </w:tcBorders>
          </w:tcPr>
          <w:p>
            <w:pPr>
              <w:jc w:val="right"/>
              <w:ind w:right="1"/>
              <w:spacing w:after="0"/>
              <w:rPr>
                <w:sz w:val="20"/>
                <w:szCs w:val="20"/>
                <w:color w:val="auto"/>
              </w:rPr>
            </w:pPr>
            <w:r>
              <w:rPr>
                <w:rFonts w:ascii="Arial" w:cs="Arial" w:eastAsia="Arial" w:hAnsi="Arial"/>
                <w:sz w:val="18"/>
                <w:szCs w:val="18"/>
                <w:color w:val="auto"/>
              </w:rPr>
              <w:t>49.93</w:t>
            </w:r>
          </w:p>
        </w:tc>
      </w:tr>
      <w:tr>
        <w:trPr>
          <w:trHeight w:val="248"/>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Unvested, March 31, 2022</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2,970,513</w:t>
            </w:r>
          </w:p>
        </w:tc>
        <w:tc>
          <w:tcPr>
            <w:tcW w:w="420" w:type="dxa"/>
            <w:vAlign w:val="bottom"/>
            <w:tcBorders>
              <w:bottom w:val="single" w:sz="8" w:color="CCEEFF"/>
            </w:tcBorders>
            <w:shd w:val="clear" w:color="auto" w:fill="CCEEFF"/>
          </w:tcPr>
          <w:p>
            <w:pPr>
              <w:jc w:val="right"/>
              <w:ind w:right="222"/>
              <w:spacing w:after="0"/>
              <w:rPr>
                <w:sz w:val="20"/>
                <w:szCs w:val="20"/>
                <w:color w:val="auto"/>
              </w:rPr>
            </w:pPr>
            <w:r>
              <w:rPr>
                <w:rFonts w:ascii="Arial" w:cs="Arial" w:eastAsia="Arial" w:hAnsi="Arial"/>
                <w:sz w:val="12"/>
                <w:szCs w:val="12"/>
                <w:color w:val="auto"/>
                <w:w w:val="81"/>
              </w:rPr>
              <w:t>(2)</w:t>
            </w:r>
          </w:p>
        </w:tc>
        <w:tc>
          <w:tcPr>
            <w:tcW w:w="118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7"/>
              </w:rPr>
              <w:t>2,664,728</w:t>
            </w: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305,785</w:t>
            </w:r>
          </w:p>
        </w:tc>
        <w:tc>
          <w:tcPr>
            <w:tcW w:w="5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35.35</w:t>
            </w: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39.26</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300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r>
    </w:tbl>
    <w:p>
      <w:pPr>
        <w:spacing w:after="0" w:line="121"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the three months ended March 31, 2022, the Company only granted RSUs.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67,957 RSUs which are expected to be settled in cash.</w:t>
      </w:r>
    </w:p>
    <w:p>
      <w:pPr>
        <w:spacing w:after="0" w:line="171" w:lineRule="exact"/>
        <w:rPr>
          <w:rFonts w:ascii="Arial" w:cs="Arial" w:eastAsia="Arial" w:hAnsi="Arial"/>
          <w:sz w:val="18"/>
          <w:szCs w:val="18"/>
          <w:color w:val="auto"/>
        </w:rPr>
      </w:pPr>
    </w:p>
    <w:p>
      <w:pPr>
        <w:ind w:left="340" w:hanging="332"/>
        <w:spacing w:after="0" w:line="223" w:lineRule="exact"/>
        <w:tabs>
          <w:tab w:leader="none" w:pos="334" w:val="left"/>
        </w:tabs>
        <w:numPr>
          <w:ilvl w:val="0"/>
          <w:numId w:val="11"/>
        </w:numPr>
        <w:rPr>
          <w:rFonts w:ascii="Arial" w:cs="Arial" w:eastAsia="Arial" w:hAnsi="Arial"/>
          <w:sz w:val="18"/>
          <w:szCs w:val="18"/>
          <w:color w:val="231F20"/>
        </w:rPr>
      </w:pPr>
      <w:r>
        <w:rPr>
          <w:rFonts w:ascii="Arial" w:cs="Arial" w:eastAsia="Arial" w:hAnsi="Arial"/>
          <w:sz w:val="18"/>
          <w:szCs w:val="18"/>
          <w:color w:val="auto"/>
        </w:rPr>
        <w:t>Includes 199,076 time</w:t>
      </w:r>
      <w:r>
        <w:rPr>
          <w:rFonts w:ascii="MS PGothic" w:cs="MS PGothic" w:eastAsia="MS PGothic" w:hAnsi="MS PGothic"/>
          <w:sz w:val="18"/>
          <w:szCs w:val="18"/>
          <w:color w:val="auto"/>
        </w:rPr>
        <w:t>‑</w:t>
      </w:r>
      <w:r>
        <w:rPr>
          <w:rFonts w:ascii="Arial" w:cs="Arial" w:eastAsia="Arial" w:hAnsi="Arial"/>
          <w:sz w:val="18"/>
          <w:szCs w:val="18"/>
          <w:color w:val="auto"/>
        </w:rPr>
        <w:t>based RSUs granted during the three months ended March 31, 2022 to certain officers and key employees, which cliff vest on January 31, 2025.</w:t>
      </w:r>
    </w:p>
    <w:p>
      <w:pPr>
        <w:spacing w:after="0" w:line="148" w:lineRule="exact"/>
        <w:rPr>
          <w:rFonts w:ascii="Arial" w:cs="Arial" w:eastAsia="Arial" w:hAnsi="Arial"/>
          <w:sz w:val="18"/>
          <w:szCs w:val="18"/>
          <w:color w:val="231F20"/>
        </w:rPr>
      </w:pPr>
    </w:p>
    <w:p>
      <w:pPr>
        <w:ind w:left="340" w:hanging="332"/>
        <w:spacing w:after="0" w:line="223" w:lineRule="exact"/>
        <w:tabs>
          <w:tab w:leader="none" w:pos="334"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Relates to the 2021 annual performance period. Total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associated with these awards was fully recognized as of December 31, 2021.</w:t>
      </w:r>
    </w:p>
    <w:p>
      <w:pPr>
        <w:spacing w:after="0" w:line="148" w:lineRule="exact"/>
        <w:rPr>
          <w:rFonts w:ascii="Arial" w:cs="Arial" w:eastAsia="Arial" w:hAnsi="Arial"/>
          <w:sz w:val="18"/>
          <w:szCs w:val="18"/>
          <w:color w:val="auto"/>
        </w:rPr>
      </w:pPr>
    </w:p>
    <w:p>
      <w:pPr>
        <w:ind w:left="340" w:hanging="332"/>
        <w:spacing w:after="0" w:line="223" w:lineRule="exact"/>
        <w:tabs>
          <w:tab w:leader="none" w:pos="334" w:val="left"/>
        </w:tabs>
        <w:numPr>
          <w:ilvl w:val="0"/>
          <w:numId w:val="11"/>
        </w:numPr>
        <w:rPr>
          <w:rFonts w:ascii="Arial" w:cs="Arial" w:eastAsia="Arial" w:hAnsi="Arial"/>
          <w:sz w:val="18"/>
          <w:szCs w:val="18"/>
          <w:color w:val="231F20"/>
        </w:rPr>
      </w:pPr>
      <w:r>
        <w:rPr>
          <w:rFonts w:ascii="Arial" w:cs="Arial" w:eastAsia="Arial" w:hAnsi="Arial"/>
          <w:sz w:val="18"/>
          <w:szCs w:val="18"/>
          <w:color w:val="auto"/>
        </w:rPr>
        <w:t>Relates to the 2022 annual performance period, except for 185,186 performance</w:t>
      </w:r>
      <w:r>
        <w:rPr>
          <w:rFonts w:ascii="MS PGothic" w:cs="MS PGothic" w:eastAsia="MS PGothic" w:hAnsi="MS PGothic"/>
          <w:sz w:val="18"/>
          <w:szCs w:val="18"/>
          <w:color w:val="auto"/>
        </w:rPr>
        <w:t>‑</w:t>
      </w:r>
      <w:r>
        <w:rPr>
          <w:rFonts w:ascii="Arial" w:cs="Arial" w:eastAsia="Arial" w:hAnsi="Arial"/>
          <w:sz w:val="18"/>
          <w:szCs w:val="18"/>
          <w:color w:val="auto"/>
        </w:rPr>
        <w:t>based RSUs granted during the three months ended March 31, 2022 with extraordinary terms, which are described below.</w:t>
      </w:r>
    </w:p>
    <w:p>
      <w:pPr>
        <w:spacing w:after="0" w:line="203"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During the three months ended March 31, 2022, the Company granted 185,186 performance</w:t>
      </w:r>
      <w:r>
        <w:rPr>
          <w:rFonts w:ascii="MS PGothic" w:cs="MS PGothic" w:eastAsia="MS PGothic" w:hAnsi="MS PGothic"/>
          <w:sz w:val="18"/>
          <w:szCs w:val="18"/>
          <w:color w:val="auto"/>
        </w:rPr>
        <w:t>‑</w:t>
      </w:r>
      <w:r>
        <w:rPr>
          <w:rFonts w:ascii="Arial" w:cs="Arial" w:eastAsia="Arial" w:hAnsi="Arial"/>
          <w:sz w:val="18"/>
          <w:szCs w:val="18"/>
          <w:color w:val="auto"/>
        </w:rPr>
        <w:t>based RSUs to certain officers and key employees, which vest subject to the achievement of certain performance goals over a three</w:t>
      </w:r>
      <w:r>
        <w:rPr>
          <w:rFonts w:ascii="MS PGothic" w:cs="MS PGothic" w:eastAsia="MS PGothic" w:hAnsi="MS PGothic"/>
          <w:sz w:val="18"/>
          <w:szCs w:val="18"/>
          <w:color w:val="auto"/>
        </w:rPr>
        <w:t>‑</w:t>
      </w:r>
      <w:r>
        <w:rPr>
          <w:rFonts w:ascii="Arial" w:cs="Arial" w:eastAsia="Arial" w:hAnsi="Arial"/>
          <w:sz w:val="18"/>
          <w:szCs w:val="18"/>
          <w:color w:val="auto"/>
        </w:rPr>
        <w:t>year performance period (the “Performance Period”). For each year of the Performance Period, one</w:t>
      </w:r>
      <w:r>
        <w:rPr>
          <w:rFonts w:ascii="MS PGothic" w:cs="MS PGothic" w:eastAsia="MS PGothic" w:hAnsi="MS PGothic"/>
          <w:sz w:val="18"/>
          <w:szCs w:val="18"/>
          <w:color w:val="auto"/>
        </w:rPr>
        <w:t>‑</w:t>
      </w:r>
      <w:r>
        <w:rPr>
          <w:rFonts w:ascii="Arial" w:cs="Arial" w:eastAsia="Arial" w:hAnsi="Arial"/>
          <w:sz w:val="18"/>
          <w:szCs w:val="18"/>
          <w:color w:val="auto"/>
        </w:rPr>
        <w:t>third of the performance</w:t>
      </w:r>
      <w:r>
        <w:rPr>
          <w:rFonts w:ascii="MS PGothic" w:cs="MS PGothic" w:eastAsia="MS PGothic" w:hAnsi="MS PGothic"/>
          <w:sz w:val="18"/>
          <w:szCs w:val="18"/>
          <w:color w:val="auto"/>
        </w:rPr>
        <w:t>‑</w:t>
      </w:r>
      <w:r>
        <w:rPr>
          <w:rFonts w:ascii="Arial" w:cs="Arial" w:eastAsia="Arial" w:hAnsi="Arial"/>
          <w:sz w:val="18"/>
          <w:szCs w:val="18"/>
          <w:color w:val="auto"/>
        </w:rPr>
        <w:t>based RSUs will be subject to a cliff, whereby no vesting of that portion will occur unless the Company’s Adjusted EBITDA margin also equals or exceeds the relevant target level for such year. Provided Adjusted EBITDA margin targets are met, the total number of performance</w:t>
      </w:r>
      <w:r>
        <w:rPr>
          <w:rFonts w:ascii="MS PGothic" w:cs="MS PGothic" w:eastAsia="MS PGothic" w:hAnsi="MS PGothic"/>
          <w:sz w:val="18"/>
          <w:szCs w:val="18"/>
          <w:color w:val="auto"/>
        </w:rPr>
        <w:t>‑</w:t>
      </w:r>
      <w:r>
        <w:rPr>
          <w:rFonts w:ascii="Arial" w:cs="Arial" w:eastAsia="Arial" w:hAnsi="Arial"/>
          <w:sz w:val="18"/>
          <w:szCs w:val="18"/>
          <w:color w:val="auto"/>
        </w:rPr>
        <w:t>based RSUs that will vest is determined by the achievement of certain business profitability and growth targets, which include growth in annualized recurring revenues, as well as actual bookings for perpetual licenses and non</w:t>
      </w:r>
      <w:r>
        <w:rPr>
          <w:rFonts w:ascii="MS PGothic" w:cs="MS PGothic" w:eastAsia="MS PGothic" w:hAnsi="MS PGothic"/>
          <w:sz w:val="18"/>
          <w:szCs w:val="18"/>
          <w:color w:val="auto"/>
        </w:rPr>
        <w:t>‑</w:t>
      </w:r>
      <w:r>
        <w:rPr>
          <w:rFonts w:ascii="Arial" w:cs="Arial" w:eastAsia="Arial" w:hAnsi="Arial"/>
          <w:sz w:val="18"/>
          <w:szCs w:val="18"/>
          <w:color w:val="auto"/>
        </w:rPr>
        <w:t>recurring services. Final actual vesting will be determined on January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2" w:name="page33"/>
    <w:bookmarkEnd w:id="32"/>
    <w:p>
      <w:pPr>
        <w:jc w:val="both"/>
        <w:spacing w:after="0" w:line="219" w:lineRule="exact"/>
        <w:rPr>
          <w:sz w:val="20"/>
          <w:szCs w:val="20"/>
          <w:color w:val="auto"/>
        </w:rPr>
      </w:pPr>
      <w:r>
        <w:rPr>
          <w:rFonts w:ascii="Arial" w:cs="Arial" w:eastAsia="Arial" w:hAnsi="Arial"/>
          <w:sz w:val="18"/>
          <w:szCs w:val="18"/>
          <w:color w:val="auto"/>
        </w:rPr>
        <w:t>During the three months ended March 31, 2022, the Company granted 120,599 performance</w:t>
      </w:r>
      <w:r>
        <w:rPr>
          <w:rFonts w:ascii="MS PGothic" w:cs="MS PGothic" w:eastAsia="MS PGothic" w:hAnsi="MS PGothic"/>
          <w:sz w:val="18"/>
          <w:szCs w:val="18"/>
          <w:color w:val="auto"/>
        </w:rPr>
        <w:t>‑</w:t>
      </w:r>
      <w:r>
        <w:rPr>
          <w:rFonts w:ascii="Arial" w:cs="Arial" w:eastAsia="Arial" w:hAnsi="Arial"/>
          <w:sz w:val="18"/>
          <w:szCs w:val="18"/>
          <w:color w:val="auto"/>
        </w:rPr>
        <w:t>based RSUs to certain officers and key employees, which vest subject to the achievement of certain performance goals related to the 2022 annual performance period. Provided Adjusted EBITDA margin targets are met, the total number of performance</w:t>
      </w:r>
      <w:r>
        <w:rPr>
          <w:rFonts w:ascii="MS PGothic" w:cs="MS PGothic" w:eastAsia="MS PGothic" w:hAnsi="MS PGothic"/>
          <w:sz w:val="18"/>
          <w:szCs w:val="18"/>
          <w:color w:val="auto"/>
        </w:rPr>
        <w:t>‑</w:t>
      </w:r>
      <w:r>
        <w:rPr>
          <w:rFonts w:ascii="Arial" w:cs="Arial" w:eastAsia="Arial" w:hAnsi="Arial"/>
          <w:sz w:val="18"/>
          <w:szCs w:val="18"/>
          <w:color w:val="auto"/>
        </w:rPr>
        <w:t>based RSUs that will vest is determined by the achievement of certain business profitability and growth targets, which include growth in annualized recurring revenues, as well as actual bookings for perpetual licenses and non</w:t>
      </w:r>
      <w:r>
        <w:rPr>
          <w:rFonts w:ascii="MS PGothic" w:cs="MS PGothic" w:eastAsia="MS PGothic" w:hAnsi="MS PGothic"/>
          <w:sz w:val="18"/>
          <w:szCs w:val="18"/>
          <w:color w:val="auto"/>
        </w:rPr>
        <w:t>‑</w:t>
      </w:r>
      <w:r>
        <w:rPr>
          <w:rFonts w:ascii="Arial" w:cs="Arial" w:eastAsia="Arial" w:hAnsi="Arial"/>
          <w:sz w:val="18"/>
          <w:szCs w:val="18"/>
          <w:color w:val="auto"/>
        </w:rPr>
        <w:t>recurring services. To the extent performance exceeds the applicable targets for 2022, these grantees could realize a maximum of 1.25x the number of annual performance</w:t>
      </w:r>
      <w:r>
        <w:rPr>
          <w:rFonts w:ascii="MS PGothic" w:cs="MS PGothic" w:eastAsia="MS PGothic" w:hAnsi="MS PGothic"/>
          <w:sz w:val="18"/>
          <w:szCs w:val="18"/>
          <w:color w:val="auto"/>
        </w:rPr>
        <w:t>‑</w:t>
      </w:r>
      <w:r>
        <w:rPr>
          <w:rFonts w:ascii="Arial" w:cs="Arial" w:eastAsia="Arial" w:hAnsi="Arial"/>
          <w:sz w:val="18"/>
          <w:szCs w:val="18"/>
          <w:color w:val="auto"/>
        </w:rPr>
        <w:t>based RSUs granted or 150,749 performance</w:t>
      </w:r>
      <w:r>
        <w:rPr>
          <w:rFonts w:ascii="MS PGothic" w:cs="MS PGothic" w:eastAsia="MS PGothic" w:hAnsi="MS PGothic"/>
          <w:sz w:val="18"/>
          <w:szCs w:val="18"/>
          <w:color w:val="auto"/>
        </w:rPr>
        <w:t>‑</w:t>
      </w:r>
      <w:r>
        <w:rPr>
          <w:rFonts w:ascii="Arial" w:cs="Arial" w:eastAsia="Arial" w:hAnsi="Arial"/>
          <w:sz w:val="18"/>
          <w:szCs w:val="18"/>
          <w:color w:val="auto"/>
        </w:rPr>
        <w:t>based RSUs.</w:t>
      </w:r>
    </w:p>
    <w:p>
      <w:pPr>
        <w:spacing w:after="0" w:line="203" w:lineRule="exact"/>
        <w:rPr>
          <w:sz w:val="20"/>
          <w:szCs w:val="20"/>
          <w:color w:val="auto"/>
        </w:rPr>
      </w:pPr>
    </w:p>
    <w:p>
      <w:pPr>
        <w:jc w:val="both"/>
        <w:spacing w:after="0" w:line="220" w:lineRule="exact"/>
        <w:rPr>
          <w:sz w:val="20"/>
          <w:szCs w:val="20"/>
          <w:color w:val="auto"/>
        </w:rPr>
      </w:pPr>
      <w:r>
        <w:rPr>
          <w:rFonts w:ascii="Arial" w:cs="Arial" w:eastAsia="Arial" w:hAnsi="Arial"/>
          <w:sz w:val="17"/>
          <w:szCs w:val="17"/>
          <w:color w:val="auto"/>
        </w:rPr>
        <w:t>In 2016, the Company granted RSUs subject to performance</w:t>
      </w:r>
      <w:r>
        <w:rPr>
          <w:rFonts w:ascii="MS PGothic" w:cs="MS PGothic" w:eastAsia="MS PGothic" w:hAnsi="MS PGothic"/>
          <w:sz w:val="17"/>
          <w:szCs w:val="17"/>
          <w:color w:val="auto"/>
        </w:rPr>
        <w:t>‑</w:t>
      </w:r>
      <w:r>
        <w:rPr>
          <w:rFonts w:ascii="Arial" w:cs="Arial" w:eastAsia="Arial" w:hAnsi="Arial"/>
          <w:sz w:val="17"/>
          <w:szCs w:val="17"/>
          <w:color w:val="auto"/>
        </w:rPr>
        <w:t>based vesting as determined by the achievement of certain business growth targets. Certain colleagues elected to defer delivery of such shares upon vesting. During the three months ended March 31, 2022 and 2021, 10,888 and 10,864 shares, respectively, were delivered to colleagues, and 7 and 14 additional shares, respectively, were earned as a result of dividends. As of March 31, 2022 and December 31, 2021, 9,340 and 20,221 shares, respectively, of these vested and deferred RSUs remained outstanding.</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grant date fair values of RSUs granted were $39.26 and $45.32, for the three months ended March 31, 2022 and 2021, respectively.</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2022 and 2021, restricted stock and RSUs were issued net of 38,955 and 14,869 shares, respectively, which were sold back to the Company to settle applicable income tax withholdings of $1,555 and $708, respectively.</w:t>
      </w:r>
    </w:p>
    <w:p>
      <w:pPr>
        <w:spacing w:after="0" w:line="170" w:lineRule="exact"/>
        <w:rPr>
          <w:sz w:val="20"/>
          <w:szCs w:val="20"/>
          <w:color w:val="auto"/>
        </w:rPr>
      </w:pPr>
    </w:p>
    <w:p>
      <w:pPr>
        <w:jc w:val="both"/>
        <w:spacing w:after="0" w:line="220" w:lineRule="exact"/>
        <w:rPr>
          <w:sz w:val="20"/>
          <w:szCs w:val="20"/>
          <w:color w:val="auto"/>
        </w:rPr>
      </w:pPr>
      <w:r>
        <w:rPr>
          <w:rFonts w:ascii="Arial" w:cs="Arial" w:eastAsia="Arial" w:hAnsi="Arial"/>
          <w:sz w:val="17"/>
          <w:szCs w:val="17"/>
          <w:color w:val="auto"/>
        </w:rPr>
        <w:t>As of March 31, 2022, there was $83,341 of unrecognized compensation expense related to unvested time</w:t>
      </w:r>
      <w:r>
        <w:rPr>
          <w:rFonts w:ascii="MS PGothic" w:cs="MS PGothic" w:eastAsia="MS PGothic" w:hAnsi="MS PGothic"/>
          <w:sz w:val="17"/>
          <w:szCs w:val="17"/>
          <w:color w:val="auto"/>
        </w:rPr>
        <w:t>‑</w:t>
      </w:r>
      <w:r>
        <w:rPr>
          <w:rFonts w:ascii="Arial" w:cs="Arial" w:eastAsia="Arial" w:hAnsi="Arial"/>
          <w:sz w:val="17"/>
          <w:szCs w:val="17"/>
          <w:color w:val="auto"/>
        </w:rPr>
        <w:t>based restricted stock and RSUs, which is expected to be recognized over a weighted average period of approximately 2.2 years. There was no remaining unrecognized compensation expense related to unvested performance</w:t>
      </w:r>
      <w:r>
        <w:rPr>
          <w:rFonts w:ascii="MS PGothic" w:cs="MS PGothic" w:eastAsia="MS PGothic" w:hAnsi="MS PGothic"/>
          <w:sz w:val="17"/>
          <w:szCs w:val="17"/>
          <w:color w:val="auto"/>
        </w:rPr>
        <w:t>‑</w:t>
      </w:r>
      <w:r>
        <w:rPr>
          <w:rFonts w:ascii="Arial" w:cs="Arial" w:eastAsia="Arial" w:hAnsi="Arial"/>
          <w:sz w:val="17"/>
          <w:szCs w:val="17"/>
          <w:color w:val="auto"/>
        </w:rPr>
        <w:t>based restricted stock. As of March 31, 2022, there was $11,676 of unrecognized compensation expense related to unvested performance</w:t>
      </w:r>
      <w:r>
        <w:rPr>
          <w:rFonts w:ascii="MS PGothic" w:cs="MS PGothic" w:eastAsia="MS PGothic" w:hAnsi="MS PGothic"/>
          <w:sz w:val="17"/>
          <w:szCs w:val="17"/>
          <w:color w:val="auto"/>
        </w:rPr>
        <w:t>‑</w:t>
      </w:r>
      <w:r>
        <w:rPr>
          <w:rFonts w:ascii="Arial" w:cs="Arial" w:eastAsia="Arial" w:hAnsi="Arial"/>
          <w:sz w:val="17"/>
          <w:szCs w:val="17"/>
          <w:color w:val="auto"/>
        </w:rPr>
        <w:t>based RSUs, which is expected to be recognized over a weighted average period of approximately 2.0 years.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Income Taxes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Company calculates its interim income tax provision in accordance with ASC Topics 270, </w:t>
      </w:r>
      <w:r>
        <w:rPr>
          <w:rFonts w:ascii="Arial" w:cs="Arial" w:eastAsia="Arial" w:hAnsi="Arial"/>
          <w:sz w:val="16"/>
          <w:szCs w:val="16"/>
          <w:i w:val="1"/>
          <w:iCs w:val="1"/>
          <w:color w:val="auto"/>
        </w:rPr>
        <w:t>Interim Reporting,</w:t>
      </w:r>
      <w:r>
        <w:rPr>
          <w:rFonts w:ascii="Arial" w:cs="Arial" w:eastAsia="Arial" w:hAnsi="Arial"/>
          <w:sz w:val="16"/>
          <w:szCs w:val="16"/>
          <w:color w:val="auto"/>
        </w:rPr>
        <w:t xml:space="preserve"> and 740, </w:t>
      </w:r>
      <w:r>
        <w:rPr>
          <w:rFonts w:ascii="Arial" w:cs="Arial" w:eastAsia="Arial" w:hAnsi="Arial"/>
          <w:sz w:val="16"/>
          <w:szCs w:val="16"/>
          <w:i w:val="1"/>
          <w:iCs w:val="1"/>
          <w:color w:val="auto"/>
        </w:rPr>
        <w:t>Income Taxes</w:t>
      </w:r>
      <w:r>
        <w:rPr>
          <w:rFonts w:ascii="Arial" w:cs="Arial" w:eastAsia="Arial" w:hAnsi="Arial"/>
          <w:sz w:val="16"/>
          <w:szCs w:val="16"/>
          <w:color w:val="auto"/>
        </w:rPr>
        <w:t>. At the end of each interim period, the Company makes an estimate of the annual U.S. domestic and foreign jurisdictions’ expected effective tax rates and applies these rates to its respective year to date taxable income or loss. The computation of the estimated effective tax rates at each interim period requires certain estimates and assumptions including, but not limited to, the expected operating income for the fiscal year, projections of the proportion of income (or loss) earned and taxed in the U.S. and foreign tax jurisdictions, along with permanent differences, and the likelihood of deferred tax asset utilization. The Company’s estimates and assumptions may change as new events occur, additional information is obtained, or as the tax environment changes. Should facts and circumstances change during a period causing a material change to the estimated effective income tax rate, a cumulative adjustment will be recorded.</w:t>
      </w:r>
    </w:p>
    <w:p>
      <w:pPr>
        <w:spacing w:after="0" w:line="166"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The income tax provisions for the three months ended March 31, 2022 and 2021 were based on the estimated annual effective income tax rates adjusted for discrete items occurring during the periods presented. For the three months ended March 31, 2022 and 2021, the Company recognized an aggregate consolidated income tax expense of $3,231 and $10,358, respectively, for U.S. domestic and foreign income taxes. For the three months ended March 31, 2022 and 2021, the Company recorded discrete tax benefits of $12,728 and $7,485, respectively, primarily associated with significant windfall tax benefits from stock</w:t>
      </w:r>
      <w:r>
        <w:rPr>
          <w:rFonts w:ascii="MS PGothic" w:cs="MS PGothic" w:eastAsia="MS PGothic" w:hAnsi="MS PGothic"/>
          <w:sz w:val="16"/>
          <w:szCs w:val="16"/>
          <w:color w:val="auto"/>
        </w:rPr>
        <w:t>‑</w:t>
      </w:r>
      <w:r>
        <w:rPr>
          <w:rFonts w:ascii="Arial" w:cs="Arial" w:eastAsia="Arial" w:hAnsi="Arial"/>
          <w:sz w:val="16"/>
          <w:szCs w:val="16"/>
          <w:color w:val="auto"/>
        </w:rPr>
        <w:t xml:space="preserve">based compensation, net of the impact from officer compensation limitation provisions. The effective income tax rate of 5.4% on </w:t>
      </w:r>
      <w:r>
        <w:rPr>
          <w:rFonts w:ascii="Arial" w:cs="Arial" w:eastAsia="Arial" w:hAnsi="Arial"/>
          <w:sz w:val="16"/>
          <w:szCs w:val="16"/>
          <w:i w:val="1"/>
          <w:iCs w:val="1"/>
          <w:color w:val="auto"/>
        </w:rPr>
        <w:t>Income before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of $60,191 for the three months ended March 31, 2022 was lower than the effective income tax rate of 15.3% on</w:t>
      </w:r>
      <w:r>
        <w:rPr>
          <w:rFonts w:ascii="Arial" w:cs="Arial" w:eastAsia="Arial" w:hAnsi="Arial"/>
          <w:sz w:val="16"/>
          <w:szCs w:val="16"/>
          <w:i w:val="1"/>
          <w:iCs w:val="1"/>
          <w:color w:val="auto"/>
        </w:rPr>
        <w:t xml:space="preserve"> Income before income taxes </w:t>
      </w:r>
      <w:r>
        <w:rPr>
          <w:rFonts w:ascii="Arial" w:cs="Arial" w:eastAsia="Arial" w:hAnsi="Arial"/>
          <w:sz w:val="16"/>
          <w:szCs w:val="16"/>
          <w:color w:val="auto"/>
        </w:rPr>
        <w:t>of $67,810 for the three months ended March 31, 2021 primarily due to an increase in discrete tax benefits as discussed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3" w:name="page34"/>
    <w:bookmarkEnd w:id="33"/>
    <w:p>
      <w:pPr>
        <w:jc w:val="both"/>
        <w:spacing w:after="0" w:line="301" w:lineRule="auto"/>
        <w:rPr>
          <w:sz w:val="20"/>
          <w:szCs w:val="20"/>
          <w:color w:val="auto"/>
        </w:rPr>
      </w:pPr>
      <w:r>
        <w:rPr>
          <w:rFonts w:ascii="Arial" w:cs="Arial" w:eastAsia="Arial" w:hAnsi="Arial"/>
          <w:sz w:val="16"/>
          <w:szCs w:val="16"/>
          <w:color w:val="auto"/>
        </w:rPr>
        <w:t xml:space="preserve">During the three months ended March 31, 2022, the Company repatriated $100,000 of undistributed previously taxed earnings generated by its foreign subsidiaries to the U.S. Subsequent to March 31, 2022, the Company repatriated $50,000 of accumulated undistributed previously taxed earnings generated by its foreign subsidiaries as of March 31, 2022 to the U.S. The repatriation was used to fund a portion of the acquisition of Power Line Systems (see Note 4). The cash repatriations did not have a material impact on </w:t>
      </w:r>
      <w:r>
        <w:rPr>
          <w:rFonts w:ascii="Arial" w:cs="Arial" w:eastAsia="Arial" w:hAnsi="Arial"/>
          <w:sz w:val="16"/>
          <w:szCs w:val="16"/>
          <w:i w:val="1"/>
          <w:iCs w:val="1"/>
          <w:color w:val="auto"/>
        </w:rPr>
        <w:t>Provision for income taxes</w:t>
      </w:r>
      <w:r>
        <w:rPr>
          <w:rFonts w:ascii="Arial" w:cs="Arial" w:eastAsia="Arial" w:hAnsi="Arial"/>
          <w:sz w:val="16"/>
          <w:szCs w:val="16"/>
          <w:color w:val="auto"/>
        </w:rPr>
        <w:t xml:space="preserve"> for the three months ended March 31, 2022.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Fair Value of 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an interest rate swap with a notional amount of $200,000 and a termination date of April 2, 2030 to reduce the interest rate risk associated with the Company’s Credit Facility. The interest rate swap is not designated as a hedging instrument for accounting purposes. The Company accounts for the interest rate swap as either an asset or a liability in the consolidated balance sheets and carries the derivative at fair value.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interest rate swap activity:</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gridSpan w:val="5"/>
          </w:tcPr>
          <w:p>
            <w:pPr>
              <w:jc w:val="center"/>
              <w:ind w:right="580"/>
              <w:spacing w:after="0"/>
              <w:rPr>
                <w:sz w:val="20"/>
                <w:szCs w:val="20"/>
                <w:color w:val="auto"/>
              </w:rPr>
            </w:pPr>
            <w:r>
              <w:rPr>
                <w:rFonts w:ascii="Arial" w:cs="Arial" w:eastAsia="Arial" w:hAnsi="Arial"/>
                <w:sz w:val="16"/>
                <w:szCs w:val="16"/>
                <w:b w:val="1"/>
                <w:bCs w:val="1"/>
                <w:color w:val="auto"/>
                <w:w w:val="93"/>
              </w:rPr>
              <w:t>Three Months Ended</w:t>
            </w:r>
          </w:p>
        </w:tc>
        <w:tc>
          <w:tcPr>
            <w:tcW w:w="2840" w:type="dxa"/>
            <w:vAlign w:val="bottom"/>
          </w:tcPr>
          <w:p>
            <w:pPr>
              <w:spacing w:after="0"/>
              <w:rPr>
                <w:sz w:val="18"/>
                <w:szCs w:val="18"/>
                <w:color w:val="auto"/>
              </w:rPr>
            </w:pPr>
          </w:p>
        </w:tc>
      </w:tr>
      <w:tr>
        <w:trPr>
          <w:trHeight w:val="216"/>
        </w:trPr>
        <w:tc>
          <w:tcPr>
            <w:tcW w:w="5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center"/>
              <w:ind w:left="555"/>
              <w:spacing w:after="0"/>
              <w:rPr>
                <w:sz w:val="20"/>
                <w:szCs w:val="20"/>
                <w:color w:val="auto"/>
              </w:rPr>
            </w:pPr>
            <w:r>
              <w:rPr>
                <w:rFonts w:ascii="Arial" w:cs="Arial" w:eastAsia="Arial" w:hAnsi="Arial"/>
                <w:sz w:val="16"/>
                <w:szCs w:val="16"/>
                <w:b w:val="1"/>
                <w:bCs w:val="1"/>
                <w:color w:val="auto"/>
                <w:w w:val="97"/>
              </w:rPr>
              <w:t>March 31,</w:t>
            </w:r>
          </w:p>
        </w:tc>
        <w:tc>
          <w:tcPr>
            <w:tcW w:w="9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6"/>
                <w:szCs w:val="16"/>
                <w:b w:val="1"/>
                <w:bCs w:val="1"/>
                <w:color w:val="auto"/>
                <w:w w:val="89"/>
              </w:rPr>
              <w:t>Recognized in Consolidated</w:t>
            </w:r>
          </w:p>
        </w:tc>
      </w:tr>
      <w:tr>
        <w:trPr>
          <w:trHeight w:val="213"/>
        </w:trPr>
        <w:tc>
          <w:tcPr>
            <w:tcW w:w="5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Statements of Operations</w:t>
            </w:r>
          </w:p>
        </w:tc>
      </w:tr>
      <w:tr>
        <w:trPr>
          <w:trHeight w:val="233"/>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840" w:type="dxa"/>
            <w:vAlign w:val="bottom"/>
            <w:tcBorders>
              <w:bottom w:val="single" w:sz="8" w:color="CCEEFF"/>
            </w:tcBorders>
            <w:shd w:val="clear" w:color="auto" w:fill="CCEEFF"/>
          </w:tcPr>
          <w:p>
            <w:pPr>
              <w:spacing w:after="0"/>
              <w:rPr>
                <w:sz w:val="20"/>
                <w:szCs w:val="20"/>
                <w:color w:val="auto"/>
              </w:rPr>
            </w:pPr>
          </w:p>
        </w:tc>
      </w:tr>
      <w:tr>
        <w:trPr>
          <w:trHeight w:val="270"/>
        </w:trPr>
        <w:tc>
          <w:tcPr>
            <w:tcW w:w="5240" w:type="dxa"/>
            <w:vAlign w:val="bottom"/>
          </w:tcPr>
          <w:p>
            <w:pPr>
              <w:ind w:left="180"/>
              <w:spacing w:after="0"/>
              <w:rPr>
                <w:sz w:val="20"/>
                <w:szCs w:val="20"/>
                <w:color w:val="auto"/>
              </w:rPr>
            </w:pPr>
            <w:r>
              <w:rPr>
                <w:rFonts w:ascii="Arial" w:cs="Arial" w:eastAsia="Arial" w:hAnsi="Arial"/>
                <w:sz w:val="18"/>
                <w:szCs w:val="18"/>
                <w:color w:val="auto"/>
              </w:rPr>
              <w:t>Gain from change in fair value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12,084</w:t>
            </w:r>
          </w:p>
        </w:tc>
        <w:tc>
          <w:tcPr>
            <w:tcW w:w="26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13,661</w:t>
            </w:r>
          </w:p>
        </w:tc>
        <w:tc>
          <w:tcPr>
            <w:tcW w:w="260" w:type="dxa"/>
            <w:vAlign w:val="bottom"/>
          </w:tcPr>
          <w:p>
            <w:pPr>
              <w:spacing w:after="0"/>
              <w:rPr>
                <w:sz w:val="23"/>
                <w:szCs w:val="23"/>
                <w:color w:val="auto"/>
              </w:rPr>
            </w:pPr>
          </w:p>
        </w:tc>
        <w:tc>
          <w:tcPr>
            <w:tcW w:w="2840" w:type="dxa"/>
            <w:vAlign w:val="bottom"/>
          </w:tcPr>
          <w:p>
            <w:pPr>
              <w:spacing w:after="0"/>
              <w:rPr>
                <w:sz w:val="20"/>
                <w:szCs w:val="20"/>
                <w:color w:val="auto"/>
              </w:rPr>
            </w:pPr>
            <w:r>
              <w:rPr>
                <w:rFonts w:ascii="Arial" w:cs="Arial" w:eastAsia="Arial" w:hAnsi="Arial"/>
                <w:sz w:val="18"/>
                <w:szCs w:val="18"/>
                <w:i w:val="1"/>
                <w:iCs w:val="1"/>
                <w:color w:val="auto"/>
              </w:rPr>
              <w:t>Other income, net</w:t>
            </w:r>
          </w:p>
        </w:tc>
      </w:tr>
      <w:tr>
        <w:trPr>
          <w:trHeight w:val="270"/>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60" w:type="dxa"/>
            <w:vAlign w:val="bottom"/>
            <w:shd w:val="clear" w:color="auto" w:fill="CCEEFF"/>
          </w:tcPr>
          <w:p>
            <w:pPr>
              <w:spacing w:after="0"/>
              <w:rPr>
                <w:sz w:val="23"/>
                <w:szCs w:val="23"/>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Interest expense, net</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225" w:lineRule="exact"/>
        <w:rPr>
          <w:sz w:val="20"/>
          <w:szCs w:val="20"/>
          <w:color w:val="auto"/>
        </w:rPr>
      </w:pPr>
    </w:p>
    <w:p>
      <w:pPr>
        <w:jc w:val="both"/>
        <w:spacing w:after="0" w:line="224" w:lineRule="exact"/>
        <w:rPr>
          <w:sz w:val="20"/>
          <w:szCs w:val="20"/>
          <w:color w:val="auto"/>
        </w:rPr>
      </w:pPr>
      <w:r>
        <w:rPr>
          <w:rFonts w:ascii="Arial" w:cs="Arial" w:eastAsia="Arial" w:hAnsi="Arial"/>
          <w:sz w:val="17"/>
          <w:szCs w:val="17"/>
          <w:color w:val="auto"/>
        </w:rPr>
        <w:t xml:space="preserve">The Company applies the provisions of FASB ASC Topic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for fair value measurements of financial assets and financial liabilities and for fair value measurements of non</w:t>
      </w:r>
      <w:r>
        <w:rPr>
          <w:rFonts w:ascii="MS PGothic" w:cs="MS PGothic" w:eastAsia="MS PGothic" w:hAnsi="MS PGothic"/>
          <w:sz w:val="17"/>
          <w:szCs w:val="17"/>
          <w:color w:val="auto"/>
        </w:rPr>
        <w:t>‑</w:t>
      </w:r>
      <w:r>
        <w:rPr>
          <w:rFonts w:ascii="Arial" w:cs="Arial" w:eastAsia="Arial" w:hAnsi="Arial"/>
          <w:sz w:val="17"/>
          <w:szCs w:val="17"/>
          <w:color w:val="auto"/>
        </w:rPr>
        <w:t>financial items that are recognized or disclosed at fair value in the consolidated financial statements.</w:t>
      </w:r>
    </w:p>
    <w:p>
      <w:pPr>
        <w:spacing w:after="0" w:line="202"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The Company’s financial instruments include cash equivalents, account receivables, certain other assets, accounts payable, accruals, certain other current and long</w:t>
      </w:r>
      <w:r>
        <w:rPr>
          <w:rFonts w:ascii="MS PGothic" w:cs="MS PGothic" w:eastAsia="MS PGothic" w:hAnsi="MS PGothic"/>
          <w:sz w:val="18"/>
          <w:szCs w:val="18"/>
          <w:color w:val="auto"/>
        </w:rPr>
        <w:t>‑</w:t>
      </w:r>
      <w:r>
        <w:rPr>
          <w:rFonts w:ascii="Arial" w:cs="Arial" w:eastAsia="Arial" w:hAnsi="Arial"/>
          <w:sz w:val="18"/>
          <w:szCs w:val="18"/>
          <w:color w:val="auto"/>
        </w:rPr>
        <w:t>term liabilities, and long</w:t>
      </w:r>
      <w:r>
        <w:rPr>
          <w:rFonts w:ascii="MS PGothic" w:cs="MS PGothic" w:eastAsia="MS PGothic" w:hAnsi="MS PGothic"/>
          <w:sz w:val="18"/>
          <w:szCs w:val="18"/>
          <w:color w:val="auto"/>
        </w:rPr>
        <w:t>‑</w:t>
      </w:r>
      <w:r>
        <w:rPr>
          <w:rFonts w:ascii="Arial" w:cs="Arial" w:eastAsia="Arial" w:hAnsi="Arial"/>
          <w:sz w:val="18"/>
          <w:szCs w:val="18"/>
          <w:color w:val="auto"/>
        </w:rPr>
        <w:t>term debt.</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methods and assumptions were used by the Company in estimating its fair value disclosures for financial instruments as of March 31, 2022 and December 31, 2021:</w:t>
      </w:r>
    </w:p>
    <w:p>
      <w:pPr>
        <w:spacing w:after="0" w:line="170"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i w:val="1"/>
          <w:iCs w:val="1"/>
          <w:color w:val="auto"/>
        </w:rPr>
        <w:t xml:space="preserve">Current assets and current liabilities </w:t>
      </w:r>
      <w:r>
        <w:rPr>
          <w:rFonts w:ascii="Arial" w:cs="Arial" w:eastAsia="Arial" w:hAnsi="Arial"/>
          <w:sz w:val="18"/>
          <w:szCs w:val="18"/>
          <w:color w:val="auto"/>
        </w:rPr>
        <w:t>— In general, the carrying amounts reported on the Company’s consolidated balance sheets for current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liabilities approximate their fair values due to the short</w:t>
      </w:r>
      <w:r>
        <w:rPr>
          <w:rFonts w:ascii="MS PGothic" w:cs="MS PGothic" w:eastAsia="MS PGothic" w:hAnsi="MS PGothic"/>
          <w:sz w:val="18"/>
          <w:szCs w:val="18"/>
          <w:color w:val="auto"/>
        </w:rPr>
        <w:t>‑</w:t>
      </w:r>
      <w:r>
        <w:rPr>
          <w:rFonts w:ascii="Arial" w:cs="Arial" w:eastAsia="Arial" w:hAnsi="Arial"/>
          <w:sz w:val="18"/>
          <w:szCs w:val="18"/>
          <w:color w:val="auto"/>
        </w:rPr>
        <w:t>term nature of those instruments.</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Acquisition contingent consideration </w:t>
      </w:r>
      <w:r>
        <w:rPr>
          <w:rFonts w:ascii="Arial" w:cs="Arial" w:eastAsia="Arial" w:hAnsi="Arial"/>
          <w:sz w:val="18"/>
          <w:szCs w:val="18"/>
          <w:color w:val="auto"/>
        </w:rPr>
        <w:t>— The fair value of these liabilities is based on significant inputs not observable in the market, which represents a</w:t>
      </w:r>
      <w:r>
        <w:rPr>
          <w:rFonts w:ascii="Arial" w:cs="Arial" w:eastAsia="Arial" w:hAnsi="Arial"/>
          <w:sz w:val="18"/>
          <w:szCs w:val="18"/>
          <w:i w:val="1"/>
          <w:iCs w:val="1"/>
          <w:color w:val="auto"/>
        </w:rPr>
        <w:t xml:space="preserve"> </w:t>
      </w:r>
      <w:r>
        <w:rPr>
          <w:rFonts w:ascii="Arial" w:cs="Arial" w:eastAsia="Arial" w:hAnsi="Arial"/>
          <w:sz w:val="18"/>
          <w:szCs w:val="18"/>
          <w:color w:val="auto"/>
        </w:rPr>
        <w:t>Level 3 measurement within the fair value hierarchy. The valuation of contingent consideration uses assumptions the Company believes would be made by a market participant.</w:t>
      </w:r>
    </w:p>
    <w:p>
      <w:pPr>
        <w:spacing w:after="0" w:line="184" w:lineRule="exact"/>
        <w:rPr>
          <w:sz w:val="20"/>
          <w:szCs w:val="20"/>
          <w:color w:val="auto"/>
        </w:rPr>
      </w:pPr>
    </w:p>
    <w:p>
      <w:pPr>
        <w:jc w:val="both"/>
        <w:ind w:right="20"/>
        <w:spacing w:after="0" w:line="223" w:lineRule="exact"/>
        <w:rPr>
          <w:sz w:val="20"/>
          <w:szCs w:val="20"/>
          <w:color w:val="auto"/>
        </w:rPr>
      </w:pPr>
      <w:r>
        <w:rPr>
          <w:rFonts w:ascii="Arial" w:cs="Arial" w:eastAsia="Arial" w:hAnsi="Arial"/>
          <w:sz w:val="18"/>
          <w:szCs w:val="18"/>
          <w:i w:val="1"/>
          <w:iCs w:val="1"/>
          <w:color w:val="auto"/>
        </w:rPr>
        <w:t xml:space="preserve">Interest rate swap </w:t>
      </w:r>
      <w:r>
        <w:rPr>
          <w:rFonts w:ascii="Arial" w:cs="Arial" w:eastAsia="Arial" w:hAnsi="Arial"/>
          <w:sz w:val="18"/>
          <w:szCs w:val="18"/>
          <w:color w:val="auto"/>
        </w:rPr>
        <w:t>— The fair value of the Company’s interest rate swap is measured based on the implied forward rates from the U.S. Dollar one</w:t>
      </w:r>
      <w:r>
        <w:rPr>
          <w:rFonts w:ascii="MS PGothic" w:cs="MS PGothic" w:eastAsia="MS PGothic" w:hAnsi="MS PGothic"/>
          <w:sz w:val="18"/>
          <w:szCs w:val="18"/>
          <w:color w:val="auto"/>
        </w:rPr>
        <w:t>‑</w:t>
      </w:r>
      <w:r>
        <w:rPr>
          <w:rFonts w:ascii="Arial" w:cs="Arial" w:eastAsia="Arial" w:hAnsi="Arial"/>
          <w:sz w:val="18"/>
          <w:szCs w:val="18"/>
          <w:color w:val="auto"/>
        </w:rPr>
        <w:t>month</w:t>
      </w:r>
      <w:r>
        <w:rPr>
          <w:rFonts w:ascii="Arial" w:cs="Arial" w:eastAsia="Arial" w:hAnsi="Arial"/>
          <w:sz w:val="18"/>
          <w:szCs w:val="18"/>
          <w:i w:val="1"/>
          <w:iCs w:val="1"/>
          <w:color w:val="auto"/>
        </w:rPr>
        <w:t xml:space="preserve"> </w:t>
      </w:r>
      <w:r>
        <w:rPr>
          <w:rFonts w:ascii="Arial" w:cs="Arial" w:eastAsia="Arial" w:hAnsi="Arial"/>
          <w:sz w:val="18"/>
          <w:szCs w:val="18"/>
          <w:color w:val="auto"/>
        </w:rPr>
        <w:t>LIBOR yield curve and are classified as Level 2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4" w:name="page35"/>
    <w:bookmarkEnd w:id="34"/>
    <w:p>
      <w:pPr>
        <w:jc w:val="both"/>
        <w:spacing w:after="0" w:line="291" w:lineRule="auto"/>
        <w:rPr>
          <w:sz w:val="20"/>
          <w:szCs w:val="20"/>
          <w:color w:val="auto"/>
        </w:rPr>
      </w:pPr>
      <w:r>
        <w:rPr>
          <w:rFonts w:ascii="Arial" w:cs="Arial" w:eastAsia="Arial" w:hAnsi="Arial"/>
          <w:sz w:val="16"/>
          <w:szCs w:val="16"/>
          <w:i w:val="1"/>
          <w:iCs w:val="1"/>
          <w:color w:val="auto"/>
        </w:rPr>
        <w:t xml:space="preserve">Long-term debt </w:t>
      </w:r>
      <w:r>
        <w:rPr>
          <w:rFonts w:ascii="Arial" w:cs="Arial" w:eastAsia="Arial" w:hAnsi="Arial"/>
          <w:sz w:val="16"/>
          <w:szCs w:val="16"/>
          <w:color w:val="auto"/>
        </w:rPr>
        <w:t>— The fair value of the Company’s borrowings under its Credit Facility approximated its carrying value based upon discounted cash flows</w:t>
      </w:r>
      <w:r>
        <w:rPr>
          <w:rFonts w:ascii="Arial" w:cs="Arial" w:eastAsia="Arial" w:hAnsi="Arial"/>
          <w:sz w:val="16"/>
          <w:szCs w:val="16"/>
          <w:i w:val="1"/>
          <w:iCs w:val="1"/>
          <w:color w:val="auto"/>
        </w:rPr>
        <w:t xml:space="preserve"> </w:t>
      </w:r>
      <w:r>
        <w:rPr>
          <w:rFonts w:ascii="Arial" w:cs="Arial" w:eastAsia="Arial" w:hAnsi="Arial"/>
          <w:sz w:val="16"/>
          <w:szCs w:val="16"/>
          <w:color w:val="auto"/>
        </w:rPr>
        <w:t>at current market rates for instruments with similar remaining terms. The Company considers these valuation inputs to be Level 2 inputs in the fair value hierarchy. As of March 31, 2022, the estimated fair value of the 2026 Notes and 2027 Notes was $681,030 and $502,257, respectively. As of December 31, 2021, the estimated fair value of the 2026 Notes and 2027 Notes was $720,284 and $531,915, respectively. The estimated fair value of the 2026 Notes and 2027 Notes is based on quoted market prices of the Company’s instrument in markets that are not active and are classified as Level 2 within the fair value hierarchy. Considerable judgment is necessary to interpret the market data and develop estimates of fair values. Accordingly, the estimates presented are not necessarily indicative of the amounts at which these instruments could be purchased, sold, or settled.</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Deferred compensation plan liabilities </w:t>
      </w:r>
      <w:r>
        <w:rPr>
          <w:rFonts w:ascii="Arial" w:cs="Arial" w:eastAsia="Arial" w:hAnsi="Arial"/>
          <w:sz w:val="18"/>
          <w:szCs w:val="18"/>
          <w:color w:val="auto"/>
        </w:rPr>
        <w:t>— The fair value of deferred compensation plan liabilities, including the liability classified phantom investments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DCP, are marked to market at the end of each reporting period.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financial asset or liability classification is determined based on the lowest level input that is significant to the fair value measurement. The fair value hierarchy consists of the following three levels: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inputs are quoted prices (unadjusted) in active markets for identical assets or liabilities.</w:t>
      </w:r>
    </w:p>
    <w:p>
      <w:pPr>
        <w:spacing w:after="0" w:line="225"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Level 2 inputs are quoted prices for similar assets and liabilities in active markets or inputs that are observable for the asset or liability, either directly or indirectly through market corroboration, for substantially the full term of the financial instrument.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3 inputs are unobservable inputs based on management’s own assumptions used to measure assets and liabilities at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The following tables provide the financial assets and financial liabilities carried at fair value measured on a recurring basis: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0" w:type="dxa"/>
            <w:vAlign w:val="bottom"/>
            <w:gridSpan w:val="3"/>
          </w:tcPr>
          <w:p>
            <w:pPr>
              <w:ind w:left="20"/>
              <w:spacing w:after="0"/>
              <w:rPr>
                <w:sz w:val="20"/>
                <w:szCs w:val="20"/>
                <w:color w:val="auto"/>
              </w:rPr>
            </w:pPr>
            <w:r>
              <w:rPr>
                <w:rFonts w:ascii="Arial" w:cs="Arial" w:eastAsia="Arial" w:hAnsi="Arial"/>
                <w:sz w:val="16"/>
                <w:szCs w:val="16"/>
                <w:b w:val="1"/>
                <w:bCs w:val="1"/>
                <w:color w:val="auto"/>
              </w:rPr>
              <w:t>March 31, 2022</w:t>
            </w:r>
          </w:p>
        </w:tc>
        <w:tc>
          <w:tcPr>
            <w:tcW w:w="24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2</w:t>
            </w: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3</w:t>
            </w:r>
          </w:p>
        </w:tc>
        <w:tc>
          <w:tcPr>
            <w:tcW w:w="300" w:type="dxa"/>
            <w:vAlign w:val="bottom"/>
          </w:tcPr>
          <w:p>
            <w:pPr>
              <w:spacing w:after="0"/>
              <w:rPr>
                <w:sz w:val="18"/>
                <w:szCs w:val="18"/>
                <w:color w:val="auto"/>
              </w:rPr>
            </w:pPr>
          </w:p>
        </w:tc>
        <w:tc>
          <w:tcPr>
            <w:tcW w:w="1020" w:type="dxa"/>
            <w:vAlign w:val="bottom"/>
          </w:tcPr>
          <w:p>
            <w:pPr>
              <w:jc w:val="right"/>
              <w:ind w:right="391"/>
              <w:spacing w:after="0"/>
              <w:rPr>
                <w:sz w:val="20"/>
                <w:szCs w:val="20"/>
                <w:color w:val="auto"/>
              </w:rPr>
            </w:pPr>
            <w:r>
              <w:rPr>
                <w:rFonts w:ascii="Arial" w:cs="Arial" w:eastAsia="Arial" w:hAnsi="Arial"/>
                <w:sz w:val="16"/>
                <w:szCs w:val="16"/>
                <w:b w:val="1"/>
                <w:bCs w:val="1"/>
                <w:color w:val="auto"/>
              </w:rPr>
              <w:t>Total</w:t>
            </w:r>
          </w:p>
        </w:tc>
      </w:tr>
      <w:tr>
        <w:trPr>
          <w:trHeight w:val="213"/>
        </w:trPr>
        <w:tc>
          <w:tcPr>
            <w:tcW w:w="520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70"/>
        </w:trPr>
        <w:tc>
          <w:tcPr>
            <w:tcW w:w="5200" w:type="dxa"/>
            <w:vAlign w:val="bottom"/>
            <w:gridSpan w:val="3"/>
          </w:tcPr>
          <w:p>
            <w:pPr>
              <w:ind w:left="180"/>
              <w:spacing w:after="0"/>
              <w:rPr>
                <w:sz w:val="20"/>
                <w:szCs w:val="20"/>
                <w:color w:val="auto"/>
              </w:rPr>
            </w:pPr>
            <w:r>
              <w:rPr>
                <w:rFonts w:ascii="Arial" w:cs="Arial" w:eastAsia="Arial" w:hAnsi="Arial"/>
                <w:sz w:val="18"/>
                <w:szCs w:val="18"/>
                <w:color w:val="auto"/>
              </w:rPr>
              <w:t xml:space="preserve">Money market funds </w:t>
            </w:r>
            <w:r>
              <w:rPr>
                <w:rFonts w:ascii="Arial" w:cs="Arial" w:eastAsia="Arial" w:hAnsi="Arial"/>
                <w:sz w:val="23"/>
                <w:szCs w:val="23"/>
                <w:color w:val="auto"/>
                <w:vertAlign w:val="superscript"/>
              </w:rPr>
              <w:t>(1)</w:t>
            </w:r>
          </w:p>
        </w:tc>
        <w:tc>
          <w:tcPr>
            <w:tcW w:w="240" w:type="dxa"/>
            <w:vAlign w:val="bottom"/>
          </w:tcPr>
          <w:p>
            <w:pPr>
              <w:jc w:val="right"/>
              <w:ind w:right="58"/>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52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23"/>
                <w:szCs w:val="23"/>
                <w:color w:val="auto"/>
                <w:vertAlign w:val="superscript"/>
              </w:rPr>
              <w:t>(2)</w:t>
            </w:r>
          </w:p>
        </w:tc>
        <w:tc>
          <w:tcPr>
            <w:tcW w:w="2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22,201</w:t>
            </w: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22,201</w:t>
            </w:r>
          </w:p>
        </w:tc>
      </w:tr>
      <w:tr>
        <w:trPr>
          <w:trHeight w:val="223"/>
        </w:trPr>
        <w:tc>
          <w:tcPr>
            <w:tcW w:w="5200" w:type="dxa"/>
            <w:vAlign w:val="bottom"/>
            <w:gridSpan w:val="3"/>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22,201</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22,222</w:t>
            </w:r>
          </w:p>
        </w:tc>
      </w:tr>
      <w:tr>
        <w:trPr>
          <w:trHeight w:val="20"/>
        </w:trPr>
        <w:tc>
          <w:tcPr>
            <w:tcW w:w="292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7"/>
        </w:trPr>
        <w:tc>
          <w:tcPr>
            <w:tcW w:w="5200" w:type="dxa"/>
            <w:vAlign w:val="bottom"/>
            <w:gridSpan w:val="3"/>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70"/>
        </w:trPr>
        <w:tc>
          <w:tcPr>
            <w:tcW w:w="5200" w:type="dxa"/>
            <w:vAlign w:val="bottom"/>
            <w:gridSpan w:val="3"/>
          </w:tcPr>
          <w:p>
            <w:pPr>
              <w:ind w:left="180"/>
              <w:spacing w:after="0"/>
              <w:rPr>
                <w:sz w:val="20"/>
                <w:szCs w:val="20"/>
                <w:color w:val="auto"/>
              </w:rPr>
            </w:pPr>
            <w:r>
              <w:rPr>
                <w:rFonts w:ascii="Arial" w:cs="Arial" w:eastAsia="Arial" w:hAnsi="Arial"/>
                <w:sz w:val="18"/>
                <w:szCs w:val="18"/>
                <w:color w:val="auto"/>
              </w:rPr>
              <w:t xml:space="preserve">Acquisition contingent consideration </w:t>
            </w:r>
            <w:r>
              <w:rPr>
                <w:rFonts w:ascii="Arial" w:cs="Arial" w:eastAsia="Arial" w:hAnsi="Arial"/>
                <w:sz w:val="23"/>
                <w:szCs w:val="23"/>
                <w:color w:val="auto"/>
                <w:vertAlign w:val="superscript"/>
              </w:rPr>
              <w:t>(3)</w:t>
            </w:r>
          </w:p>
        </w:tc>
        <w:tc>
          <w:tcPr>
            <w:tcW w:w="240" w:type="dxa"/>
            <w:vAlign w:val="bottom"/>
          </w:tcPr>
          <w:p>
            <w:pPr>
              <w:jc w:val="right"/>
              <w:ind w:right="58"/>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4,361</w:t>
            </w:r>
          </w:p>
        </w:tc>
        <w:tc>
          <w:tcPr>
            <w:tcW w:w="26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4,361</w:t>
            </w:r>
          </w:p>
        </w:tc>
      </w:tr>
      <w:tr>
        <w:trPr>
          <w:trHeight w:val="270"/>
        </w:trPr>
        <w:tc>
          <w:tcPr>
            <w:tcW w:w="52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 xml:space="preserve">Deferred compensation plan liabilities </w:t>
            </w:r>
            <w:r>
              <w:rPr>
                <w:rFonts w:ascii="Arial" w:cs="Arial" w:eastAsia="Arial" w:hAnsi="Arial"/>
                <w:sz w:val="23"/>
                <w:szCs w:val="23"/>
                <w:color w:val="auto"/>
                <w:vertAlign w:val="superscript"/>
              </w:rPr>
              <w:t>(4)</w:t>
            </w: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97,061</w:t>
            </w: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97,061</w:t>
            </w:r>
          </w:p>
        </w:tc>
      </w:tr>
      <w:tr>
        <w:trPr>
          <w:trHeight w:val="270"/>
        </w:trPr>
        <w:tc>
          <w:tcPr>
            <w:tcW w:w="5200" w:type="dxa"/>
            <w:vAlign w:val="bottom"/>
            <w:gridSpan w:val="3"/>
          </w:tcPr>
          <w:p>
            <w:pPr>
              <w:ind w:left="180"/>
              <w:spacing w:after="0"/>
              <w:rPr>
                <w:sz w:val="20"/>
                <w:szCs w:val="20"/>
                <w:color w:val="auto"/>
              </w:rPr>
            </w:pPr>
            <w:r>
              <w:rPr>
                <w:rFonts w:ascii="Arial" w:cs="Arial" w:eastAsia="Arial" w:hAnsi="Arial"/>
                <w:sz w:val="18"/>
                <w:szCs w:val="18"/>
                <w:color w:val="auto"/>
              </w:rPr>
              <w:t xml:space="preserve">Cash-settled equity awards </w:t>
            </w:r>
            <w:r>
              <w:rPr>
                <w:rFonts w:ascii="Arial" w:cs="Arial" w:eastAsia="Arial" w:hAnsi="Arial"/>
                <w:sz w:val="23"/>
                <w:szCs w:val="23"/>
                <w:color w:val="auto"/>
                <w:vertAlign w:val="superscript"/>
              </w:rPr>
              <w:t>(5)</w:t>
            </w:r>
          </w:p>
        </w:tc>
        <w:tc>
          <w:tcPr>
            <w:tcW w:w="2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497</w:t>
            </w: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497</w:t>
            </w:r>
          </w:p>
        </w:tc>
      </w:tr>
      <w:tr>
        <w:trPr>
          <w:trHeight w:val="248"/>
        </w:trPr>
        <w:tc>
          <w:tcPr>
            <w:tcW w:w="520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97,558</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4,361</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101,919</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525"/>
        </w:trPr>
        <w:tc>
          <w:tcPr>
            <w:tcW w:w="5200" w:type="dxa"/>
            <w:vAlign w:val="bottom"/>
            <w:gridSpan w:val="3"/>
          </w:tcPr>
          <w:p>
            <w:pPr>
              <w:ind w:left="20"/>
              <w:spacing w:after="0"/>
              <w:rPr>
                <w:sz w:val="20"/>
                <w:szCs w:val="20"/>
                <w:color w:val="auto"/>
              </w:rPr>
            </w:pPr>
            <w:r>
              <w:rPr>
                <w:rFonts w:ascii="Arial" w:cs="Arial" w:eastAsia="Arial" w:hAnsi="Arial"/>
                <w:sz w:val="16"/>
                <w:szCs w:val="16"/>
                <w:b w:val="1"/>
                <w:bCs w:val="1"/>
                <w:color w:val="auto"/>
              </w:rPr>
              <w:t>December 31, 2021</w:t>
            </w:r>
          </w:p>
        </w:tc>
        <w:tc>
          <w:tcPr>
            <w:tcW w:w="240" w:type="dxa"/>
            <w:vAlign w:val="bottom"/>
          </w:tcPr>
          <w:p>
            <w:pPr>
              <w:spacing w:after="0"/>
              <w:rPr>
                <w:sz w:val="24"/>
                <w:szCs w:val="24"/>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24"/>
                <w:szCs w:val="24"/>
                <w:color w:val="auto"/>
              </w:rPr>
            </w:pPr>
          </w:p>
        </w:tc>
        <w:tc>
          <w:tcPr>
            <w:tcW w:w="132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2</w:t>
            </w:r>
          </w:p>
        </w:tc>
        <w:tc>
          <w:tcPr>
            <w:tcW w:w="260" w:type="dxa"/>
            <w:vAlign w:val="bottom"/>
          </w:tcPr>
          <w:p>
            <w:pPr>
              <w:spacing w:after="0"/>
              <w:rPr>
                <w:sz w:val="24"/>
                <w:szCs w:val="24"/>
                <w:color w:val="auto"/>
              </w:rPr>
            </w:pPr>
          </w:p>
        </w:tc>
        <w:tc>
          <w:tcPr>
            <w:tcW w:w="132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3</w:t>
            </w:r>
          </w:p>
        </w:tc>
        <w:tc>
          <w:tcPr>
            <w:tcW w:w="300" w:type="dxa"/>
            <w:vAlign w:val="bottom"/>
          </w:tcPr>
          <w:p>
            <w:pPr>
              <w:spacing w:after="0"/>
              <w:rPr>
                <w:sz w:val="24"/>
                <w:szCs w:val="24"/>
                <w:color w:val="auto"/>
              </w:rPr>
            </w:pPr>
          </w:p>
        </w:tc>
        <w:tc>
          <w:tcPr>
            <w:tcW w:w="1020" w:type="dxa"/>
            <w:vAlign w:val="bottom"/>
          </w:tcPr>
          <w:p>
            <w:pPr>
              <w:jc w:val="right"/>
              <w:ind w:right="391"/>
              <w:spacing w:after="0"/>
              <w:rPr>
                <w:sz w:val="20"/>
                <w:szCs w:val="20"/>
                <w:color w:val="auto"/>
              </w:rPr>
            </w:pPr>
            <w:r>
              <w:rPr>
                <w:rFonts w:ascii="Arial" w:cs="Arial" w:eastAsia="Arial" w:hAnsi="Arial"/>
                <w:sz w:val="16"/>
                <w:szCs w:val="16"/>
                <w:b w:val="1"/>
                <w:bCs w:val="1"/>
                <w:color w:val="auto"/>
              </w:rPr>
              <w:t>Total</w:t>
            </w:r>
          </w:p>
        </w:tc>
      </w:tr>
      <w:tr>
        <w:trPr>
          <w:trHeight w:val="213"/>
        </w:trPr>
        <w:tc>
          <w:tcPr>
            <w:tcW w:w="51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70"/>
        </w:trPr>
        <w:tc>
          <w:tcPr>
            <w:tcW w:w="5200" w:type="dxa"/>
            <w:vAlign w:val="bottom"/>
            <w:gridSpan w:val="3"/>
          </w:tcPr>
          <w:p>
            <w:pPr>
              <w:ind w:left="180"/>
              <w:spacing w:after="0"/>
              <w:rPr>
                <w:sz w:val="20"/>
                <w:szCs w:val="20"/>
                <w:color w:val="auto"/>
              </w:rPr>
            </w:pPr>
            <w:r>
              <w:rPr>
                <w:rFonts w:ascii="Arial" w:cs="Arial" w:eastAsia="Arial" w:hAnsi="Arial"/>
                <w:sz w:val="18"/>
                <w:szCs w:val="18"/>
                <w:color w:val="auto"/>
              </w:rPr>
              <w:t xml:space="preserve">Money market funds </w:t>
            </w:r>
            <w:r>
              <w:rPr>
                <w:rFonts w:ascii="Arial" w:cs="Arial" w:eastAsia="Arial" w:hAnsi="Arial"/>
                <w:sz w:val="23"/>
                <w:szCs w:val="23"/>
                <w:color w:val="auto"/>
                <w:vertAlign w:val="superscript"/>
              </w:rPr>
              <w:t>(1)</w:t>
            </w:r>
          </w:p>
        </w:tc>
        <w:tc>
          <w:tcPr>
            <w:tcW w:w="240" w:type="dxa"/>
            <w:vAlign w:val="bottom"/>
          </w:tcPr>
          <w:p>
            <w:pPr>
              <w:jc w:val="right"/>
              <w:ind w:right="78"/>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5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23"/>
                <w:szCs w:val="23"/>
                <w:color w:val="auto"/>
                <w:vertAlign w:val="superscript"/>
              </w:rPr>
              <w:t>(2)</w:t>
            </w:r>
          </w:p>
        </w:tc>
        <w:tc>
          <w:tcPr>
            <w:tcW w:w="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10,117</w:t>
            </w:r>
          </w:p>
        </w:tc>
        <w:tc>
          <w:tcPr>
            <w:tcW w:w="26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10,117</w:t>
            </w:r>
          </w:p>
        </w:tc>
      </w:tr>
      <w:tr>
        <w:trPr>
          <w:trHeight w:val="223"/>
        </w:trPr>
        <w:tc>
          <w:tcPr>
            <w:tcW w:w="5200" w:type="dxa"/>
            <w:vAlign w:val="bottom"/>
            <w:gridSpan w:val="3"/>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78"/>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10,117</w:t>
            </w:r>
          </w:p>
        </w:tc>
        <w:tc>
          <w:tcPr>
            <w:tcW w:w="2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10,138</w:t>
            </w:r>
          </w:p>
        </w:tc>
      </w:tr>
      <w:tr>
        <w:trPr>
          <w:trHeight w:val="20"/>
        </w:trPr>
        <w:tc>
          <w:tcPr>
            <w:tcW w:w="292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18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70"/>
        </w:trPr>
        <w:tc>
          <w:tcPr>
            <w:tcW w:w="5200" w:type="dxa"/>
            <w:vAlign w:val="bottom"/>
            <w:gridSpan w:val="3"/>
          </w:tcPr>
          <w:p>
            <w:pPr>
              <w:ind w:left="180"/>
              <w:spacing w:after="0"/>
              <w:rPr>
                <w:sz w:val="20"/>
                <w:szCs w:val="20"/>
                <w:color w:val="auto"/>
              </w:rPr>
            </w:pPr>
            <w:r>
              <w:rPr>
                <w:rFonts w:ascii="Arial" w:cs="Arial" w:eastAsia="Arial" w:hAnsi="Arial"/>
                <w:sz w:val="18"/>
                <w:szCs w:val="18"/>
                <w:color w:val="auto"/>
              </w:rPr>
              <w:t xml:space="preserve">Acquisition contingent consideration </w:t>
            </w:r>
            <w:r>
              <w:rPr>
                <w:rFonts w:ascii="Arial" w:cs="Arial" w:eastAsia="Arial" w:hAnsi="Arial"/>
                <w:sz w:val="23"/>
                <w:szCs w:val="23"/>
                <w:color w:val="auto"/>
                <w:vertAlign w:val="superscript"/>
              </w:rPr>
              <w:t>(3)</w:t>
            </w:r>
          </w:p>
        </w:tc>
        <w:tc>
          <w:tcPr>
            <w:tcW w:w="240" w:type="dxa"/>
            <w:vAlign w:val="bottom"/>
          </w:tcPr>
          <w:p>
            <w:pPr>
              <w:jc w:val="right"/>
              <w:ind w:right="78"/>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6,613</w:t>
            </w:r>
          </w:p>
        </w:tc>
        <w:tc>
          <w:tcPr>
            <w:tcW w:w="26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6,613</w:t>
            </w:r>
          </w:p>
        </w:tc>
      </w:tr>
      <w:tr>
        <w:trPr>
          <w:trHeight w:val="270"/>
        </w:trPr>
        <w:tc>
          <w:tcPr>
            <w:tcW w:w="52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 xml:space="preserve">Deferred compensation plan liabilities </w:t>
            </w:r>
            <w:r>
              <w:rPr>
                <w:rFonts w:ascii="Arial" w:cs="Arial" w:eastAsia="Arial" w:hAnsi="Arial"/>
                <w:sz w:val="23"/>
                <w:szCs w:val="23"/>
                <w:color w:val="auto"/>
                <w:vertAlign w:val="superscript"/>
              </w:rPr>
              <w:t>(4)</w:t>
            </w: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102,199</w:t>
            </w: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102,199</w:t>
            </w:r>
          </w:p>
        </w:tc>
      </w:tr>
      <w:tr>
        <w:trPr>
          <w:trHeight w:val="270"/>
        </w:trPr>
        <w:tc>
          <w:tcPr>
            <w:tcW w:w="51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 xml:space="preserve">Cash-settled equity awards </w:t>
            </w:r>
            <w:r>
              <w:rPr>
                <w:rFonts w:ascii="Arial" w:cs="Arial" w:eastAsia="Arial" w:hAnsi="Arial"/>
                <w:sz w:val="23"/>
                <w:szCs w:val="23"/>
                <w:color w:val="auto"/>
                <w:vertAlign w:val="superscript"/>
              </w:rPr>
              <w:t>(5)</w:t>
            </w:r>
          </w:p>
        </w:tc>
        <w:tc>
          <w:tcPr>
            <w:tcW w:w="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26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r>
      <w:tr>
        <w:trPr>
          <w:trHeight w:val="243"/>
        </w:trPr>
        <w:tc>
          <w:tcPr>
            <w:tcW w:w="52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102,552</w:t>
            </w: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6,613</w:t>
            </w: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109,165</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77"/>
        </w:trPr>
        <w:tc>
          <w:tcPr>
            <w:tcW w:w="2920" w:type="dxa"/>
            <w:vAlign w:val="bottom"/>
            <w:tcBorders>
              <w:bottom w:val="single" w:sz="8" w:color="auto"/>
            </w:tcBorders>
          </w:tcPr>
          <w:p>
            <w:pPr>
              <w:spacing w:after="0"/>
              <w:rPr>
                <w:sz w:val="15"/>
                <w:szCs w:val="15"/>
                <w:color w:val="auto"/>
              </w:rPr>
            </w:pPr>
          </w:p>
        </w:tc>
        <w:tc>
          <w:tcPr>
            <w:tcW w:w="2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bl>
    <w:p>
      <w:pPr>
        <w:spacing w:after="0" w:line="134"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Included in </w:t>
      </w:r>
      <w:r>
        <w:rPr>
          <w:rFonts w:ascii="Arial" w:cs="Arial" w:eastAsia="Arial" w:hAnsi="Arial"/>
          <w:sz w:val="18"/>
          <w:szCs w:val="18"/>
          <w:i w:val="1"/>
          <w:iCs w:val="1"/>
          <w:color w:val="auto"/>
        </w:rPr>
        <w:t>Cash and cash equivalents</w:t>
      </w:r>
      <w:r>
        <w:rPr>
          <w:rFonts w:ascii="Arial" w:cs="Arial" w:eastAsia="Arial" w:hAnsi="Arial"/>
          <w:sz w:val="18"/>
          <w:szCs w:val="18"/>
          <w:color w:val="auto"/>
        </w:rPr>
        <w:t xml:space="preserve"> in the consolidated balance sheets.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Included in </w:t>
      </w:r>
      <w:r>
        <w:rPr>
          <w:rFonts w:ascii="Arial" w:cs="Arial" w:eastAsia="Arial" w:hAnsi="Arial"/>
          <w:sz w:val="18"/>
          <w:szCs w:val="18"/>
          <w:i w:val="1"/>
          <w:iCs w:val="1"/>
          <w:color w:val="auto"/>
        </w:rPr>
        <w:t>Other assets</w:t>
      </w:r>
      <w:r>
        <w:rPr>
          <w:rFonts w:ascii="Arial" w:cs="Arial" w:eastAsia="Arial" w:hAnsi="Arial"/>
          <w:sz w:val="18"/>
          <w:szCs w:val="18"/>
          <w:color w:val="auto"/>
        </w:rPr>
        <w:t xml:space="preserve"> in the consolidated balance sheets.</w:t>
      </w:r>
    </w:p>
    <w:p>
      <w:pPr>
        <w:spacing w:after="0" w:line="171" w:lineRule="exact"/>
        <w:rPr>
          <w:rFonts w:ascii="Arial" w:cs="Arial" w:eastAsia="Arial" w:hAnsi="Arial"/>
          <w:sz w:val="18"/>
          <w:szCs w:val="18"/>
          <w:color w:val="auto"/>
        </w:rPr>
      </w:pPr>
    </w:p>
    <w:p>
      <w:pPr>
        <w:jc w:val="both"/>
        <w:ind w:left="340" w:hanging="332"/>
        <w:spacing w:after="0" w:line="279" w:lineRule="auto"/>
        <w:tabs>
          <w:tab w:leader="none" w:pos="334"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Included in </w:t>
      </w:r>
      <w:r>
        <w:rPr>
          <w:rFonts w:ascii="Arial" w:cs="Arial" w:eastAsia="Arial" w:hAnsi="Arial"/>
          <w:sz w:val="17"/>
          <w:szCs w:val="17"/>
          <w:i w:val="1"/>
          <w:iCs w:val="1"/>
          <w:color w:val="auto"/>
        </w:rPr>
        <w:t>Other liabilities</w:t>
      </w:r>
      <w:r>
        <w:rPr>
          <w:rFonts w:ascii="Arial" w:cs="Arial" w:eastAsia="Arial" w:hAnsi="Arial"/>
          <w:sz w:val="17"/>
          <w:szCs w:val="17"/>
          <w:color w:val="auto"/>
        </w:rPr>
        <w:t xml:space="preserve">, except for current liabilities of $3,401 and $5,382 as of March 31, 2022 and December 31, 2021, respectively, which are included in </w:t>
      </w:r>
      <w:r>
        <w:rPr>
          <w:rFonts w:ascii="Arial" w:cs="Arial" w:eastAsia="Arial" w:hAnsi="Arial"/>
          <w:sz w:val="17"/>
          <w:szCs w:val="17"/>
          <w:i w:val="1"/>
          <w:iCs w:val="1"/>
          <w:color w:val="auto"/>
        </w:rPr>
        <w:t>Accruals and other current liabilities</w:t>
      </w:r>
      <w:r>
        <w:rPr>
          <w:rFonts w:ascii="Arial" w:cs="Arial" w:eastAsia="Arial" w:hAnsi="Arial"/>
          <w:sz w:val="17"/>
          <w:szCs w:val="17"/>
          <w:color w:val="auto"/>
        </w:rPr>
        <w:t xml:space="preserve"> in the consolidated balance sheets. Acquisition contingent consideration liability is measured at fair value and is based on significant inputs not observable in the market, which represents a Level 3 measurement within the fair value hierarchy. The valuation of contingent consideration uses assumptions the Company believes would be made by a market participant.</w:t>
      </w:r>
    </w:p>
    <w:p>
      <w:pPr>
        <w:spacing w:after="0" w:line="117" w:lineRule="exact"/>
        <w:rPr>
          <w:rFonts w:ascii="Arial" w:cs="Arial" w:eastAsia="Arial" w:hAnsi="Arial"/>
          <w:sz w:val="17"/>
          <w:szCs w:val="17"/>
          <w:color w:val="auto"/>
        </w:rPr>
      </w:pPr>
    </w:p>
    <w:p>
      <w:pPr>
        <w:ind w:left="340" w:right="20" w:hanging="332"/>
        <w:spacing w:after="0" w:line="277" w:lineRule="auto"/>
        <w:tabs>
          <w:tab w:leader="none" w:pos="334"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Included in </w:t>
      </w:r>
      <w:r>
        <w:rPr>
          <w:rFonts w:ascii="Arial" w:cs="Arial" w:eastAsia="Arial" w:hAnsi="Arial"/>
          <w:sz w:val="18"/>
          <w:szCs w:val="18"/>
          <w:i w:val="1"/>
          <w:iCs w:val="1"/>
          <w:color w:val="auto"/>
        </w:rPr>
        <w:t>Deferred compensation plan liabilities</w:t>
      </w:r>
      <w:r>
        <w:rPr>
          <w:rFonts w:ascii="Arial" w:cs="Arial" w:eastAsia="Arial" w:hAnsi="Arial"/>
          <w:sz w:val="18"/>
          <w:szCs w:val="18"/>
          <w:color w:val="auto"/>
        </w:rPr>
        <w:t xml:space="preserve">, except for current liabilities of $7,779 and $7,309 as of March 31, 2022 and December 31, 2021, respectively, which are included in </w:t>
      </w:r>
      <w:r>
        <w:rPr>
          <w:rFonts w:ascii="Arial" w:cs="Arial" w:eastAsia="Arial" w:hAnsi="Arial"/>
          <w:sz w:val="18"/>
          <w:szCs w:val="18"/>
          <w:i w:val="1"/>
          <w:iCs w:val="1"/>
          <w:color w:val="auto"/>
        </w:rPr>
        <w:t>Accruals and other current liabilities</w:t>
      </w:r>
      <w:r>
        <w:rPr>
          <w:rFonts w:ascii="Arial" w:cs="Arial" w:eastAsia="Arial" w:hAnsi="Arial"/>
          <w:sz w:val="18"/>
          <w:szCs w:val="18"/>
          <w:color w:val="auto"/>
        </w:rPr>
        <w:t xml:space="preserve"> in the consolidated balance sheets.</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Included in </w:t>
      </w:r>
      <w:r>
        <w:rPr>
          <w:rFonts w:ascii="Arial" w:cs="Arial" w:eastAsia="Arial" w:hAnsi="Arial"/>
          <w:sz w:val="18"/>
          <w:szCs w:val="18"/>
          <w:i w:val="1"/>
          <w:iCs w:val="1"/>
          <w:color w:val="auto"/>
        </w:rPr>
        <w:t>Accruals and other current liabilities</w:t>
      </w:r>
      <w:r>
        <w:rPr>
          <w:rFonts w:ascii="Arial" w:cs="Arial" w:eastAsia="Arial" w:hAnsi="Arial"/>
          <w:sz w:val="18"/>
          <w:szCs w:val="18"/>
          <w:color w:val="auto"/>
        </w:rPr>
        <w:t xml:space="preserve">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6" w:name="page37"/>
    <w:bookmarkEnd w:id="36"/>
    <w:p>
      <w:pPr>
        <w:jc w:val="both"/>
        <w:spacing w:after="0" w:line="277" w:lineRule="auto"/>
        <w:rPr>
          <w:sz w:val="20"/>
          <w:szCs w:val="20"/>
          <w:color w:val="auto"/>
        </w:rPr>
      </w:pPr>
      <w:r>
        <w:rPr>
          <w:rFonts w:ascii="Arial" w:cs="Arial" w:eastAsia="Arial" w:hAnsi="Arial"/>
          <w:sz w:val="18"/>
          <w:szCs w:val="18"/>
          <w:color w:val="auto"/>
        </w:rPr>
        <w:t>The following table is a reconciliation of the changes in fair value of the Company’s financial liabilities which have been classified as Level 3 in the fair value hierarchy: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3"/>
              </w:rPr>
              <w:t>Three Months Ended</w:t>
            </w:r>
          </w:p>
        </w:tc>
        <w:tc>
          <w:tcPr>
            <w:tcW w:w="240" w:type="dxa"/>
            <w:vAlign w:val="bottom"/>
          </w:tcPr>
          <w:p>
            <w:pPr>
              <w:spacing w:after="0"/>
              <w:rPr>
                <w:sz w:val="18"/>
                <w:szCs w:val="18"/>
                <w:color w:val="auto"/>
              </w:rPr>
            </w:pPr>
          </w:p>
        </w:tc>
        <w:tc>
          <w:tcPr>
            <w:tcW w:w="1860" w:type="dxa"/>
            <w:vAlign w:val="bottom"/>
          </w:tcPr>
          <w:p>
            <w:pPr>
              <w:jc w:val="right"/>
              <w:ind w:right="552"/>
              <w:spacing w:after="0"/>
              <w:rPr>
                <w:sz w:val="20"/>
                <w:szCs w:val="20"/>
                <w:color w:val="auto"/>
              </w:rPr>
            </w:pPr>
            <w:r>
              <w:rPr>
                <w:rFonts w:ascii="Arial" w:cs="Arial" w:eastAsia="Arial" w:hAnsi="Arial"/>
                <w:sz w:val="16"/>
                <w:szCs w:val="16"/>
                <w:b w:val="1"/>
                <w:bCs w:val="1"/>
                <w:color w:val="auto"/>
              </w:rPr>
              <w:t>Year Ended</w:t>
            </w:r>
          </w:p>
        </w:tc>
      </w:tr>
      <w:tr>
        <w:trPr>
          <w:trHeight w:val="219"/>
        </w:trPr>
        <w:tc>
          <w:tcPr>
            <w:tcW w:w="6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6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4"/>
              </w:rPr>
              <w:t>March 31, 2022</w:t>
            </w:r>
          </w:p>
        </w:tc>
        <w:tc>
          <w:tcPr>
            <w:tcW w:w="240" w:type="dxa"/>
            <w:vAlign w:val="bottom"/>
          </w:tcPr>
          <w:p>
            <w:pPr>
              <w:spacing w:after="0"/>
              <w:rPr>
                <w:sz w:val="19"/>
                <w:szCs w:val="19"/>
                <w:color w:val="auto"/>
              </w:rPr>
            </w:pPr>
          </w:p>
        </w:tc>
        <w:tc>
          <w:tcPr>
            <w:tcW w:w="1860" w:type="dxa"/>
            <w:vAlign w:val="bottom"/>
          </w:tcPr>
          <w:p>
            <w:pPr>
              <w:jc w:val="right"/>
              <w:ind w:right="312"/>
              <w:spacing w:after="0"/>
              <w:rPr>
                <w:sz w:val="20"/>
                <w:szCs w:val="20"/>
                <w:color w:val="auto"/>
              </w:rPr>
            </w:pPr>
            <w:r>
              <w:rPr>
                <w:rFonts w:ascii="Arial" w:cs="Arial" w:eastAsia="Arial" w:hAnsi="Arial"/>
                <w:sz w:val="16"/>
                <w:szCs w:val="16"/>
                <w:b w:val="1"/>
                <w:bCs w:val="1"/>
                <w:color w:val="auto"/>
                <w:w w:val="99"/>
              </w:rPr>
              <w:t>December 31, 2021</w:t>
            </w:r>
          </w:p>
        </w:tc>
      </w:tr>
      <w:tr>
        <w:trPr>
          <w:trHeight w:val="226"/>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beginning of year</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6,613</w:t>
            </w:r>
          </w:p>
        </w:tc>
        <w:tc>
          <w:tcPr>
            <w:tcW w:w="2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4,299</w:t>
            </w:r>
          </w:p>
        </w:tc>
      </w:tr>
      <w:tr>
        <w:trPr>
          <w:trHeight w:val="270"/>
        </w:trPr>
        <w:tc>
          <w:tcPr>
            <w:tcW w:w="6780" w:type="dxa"/>
            <w:vAlign w:val="bottom"/>
          </w:tcPr>
          <w:p>
            <w:pPr>
              <w:ind w:left="180"/>
              <w:spacing w:after="0"/>
              <w:rPr>
                <w:sz w:val="20"/>
                <w:szCs w:val="20"/>
                <w:color w:val="auto"/>
              </w:rPr>
            </w:pPr>
            <w:r>
              <w:rPr>
                <w:rFonts w:ascii="Arial" w:cs="Arial" w:eastAsia="Arial" w:hAnsi="Arial"/>
                <w:sz w:val="18"/>
                <w:szCs w:val="18"/>
                <w:color w:val="auto"/>
              </w:rPr>
              <w:t>Payments</w:t>
            </w:r>
          </w:p>
        </w:tc>
        <w:tc>
          <w:tcPr>
            <w:tcW w:w="20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(2,721)</w:t>
            </w: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(2,371)</w:t>
            </w:r>
          </w:p>
        </w:tc>
      </w:tr>
      <w:tr>
        <w:trPr>
          <w:trHeight w:val="270"/>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w:t>
            </w:r>
          </w:p>
        </w:tc>
        <w:tc>
          <w:tcPr>
            <w:tcW w:w="200" w:type="dxa"/>
            <w:vAlign w:val="bottom"/>
            <w:shd w:val="clear" w:color="auto" w:fill="CCEEFF"/>
          </w:tcPr>
          <w:p>
            <w:pPr>
              <w:spacing w:after="0"/>
              <w:rPr>
                <w:sz w:val="23"/>
                <w:szCs w:val="23"/>
                <w:color w:val="auto"/>
              </w:rPr>
            </w:pPr>
          </w:p>
        </w:tc>
        <w:tc>
          <w:tcPr>
            <w:tcW w:w="2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4,544</w:t>
            </w:r>
          </w:p>
        </w:tc>
      </w:tr>
      <w:tr>
        <w:trPr>
          <w:trHeight w:val="270"/>
        </w:trPr>
        <w:tc>
          <w:tcPr>
            <w:tcW w:w="6780" w:type="dxa"/>
            <w:vAlign w:val="bottom"/>
          </w:tcPr>
          <w:p>
            <w:pPr>
              <w:ind w:left="180"/>
              <w:spacing w:after="0"/>
              <w:rPr>
                <w:sz w:val="20"/>
                <w:szCs w:val="20"/>
                <w:color w:val="auto"/>
              </w:rPr>
            </w:pPr>
            <w:r>
              <w:rPr>
                <w:rFonts w:ascii="Arial" w:cs="Arial" w:eastAsia="Arial" w:hAnsi="Arial"/>
                <w:sz w:val="18"/>
                <w:szCs w:val="18"/>
                <w:color w:val="auto"/>
              </w:rPr>
              <w:t>Change in fair value</w:t>
            </w:r>
          </w:p>
        </w:tc>
        <w:tc>
          <w:tcPr>
            <w:tcW w:w="20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500</w:t>
            </w: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294</w:t>
            </w:r>
          </w:p>
        </w:tc>
      </w:tr>
      <w:tr>
        <w:trPr>
          <w:trHeight w:val="270"/>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Borders>
              <w:bottom w:val="single" w:sz="8" w:color="auto"/>
            </w:tcBorders>
            <w:shd w:val="clear" w:color="auto" w:fill="CCEEFF"/>
          </w:tcPr>
          <w:p>
            <w:pPr>
              <w:spacing w:after="0"/>
              <w:rPr>
                <w:sz w:val="23"/>
                <w:szCs w:val="23"/>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23"/>
        </w:trPr>
        <w:tc>
          <w:tcPr>
            <w:tcW w:w="6780" w:type="dxa"/>
            <w:vAlign w:val="bottom"/>
          </w:tcPr>
          <w:p>
            <w:pPr>
              <w:ind w:left="20"/>
              <w:spacing w:after="0"/>
              <w:rPr>
                <w:sz w:val="20"/>
                <w:szCs w:val="20"/>
                <w:color w:val="auto"/>
              </w:rPr>
            </w:pPr>
            <w:r>
              <w:rPr>
                <w:rFonts w:ascii="Arial" w:cs="Arial" w:eastAsia="Arial" w:hAnsi="Arial"/>
                <w:sz w:val="18"/>
                <w:szCs w:val="18"/>
                <w:color w:val="auto"/>
              </w:rPr>
              <w:t>Balance, end of period</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4,361</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6,613</w:t>
            </w:r>
          </w:p>
        </w:tc>
      </w:tr>
      <w:tr>
        <w:trPr>
          <w:trHeight w:val="20"/>
        </w:trPr>
        <w:tc>
          <w:tcPr>
            <w:tcW w:w="6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have any transfers between levels within the fair value hierarchy.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Commitments and Contingencies</w:t>
      </w:r>
    </w:p>
    <w:p>
      <w:pPr>
        <w:spacing w:after="0" w:line="229" w:lineRule="exact"/>
        <w:rPr>
          <w:sz w:val="20"/>
          <w:szCs w:val="20"/>
          <w:color w:val="auto"/>
        </w:rPr>
      </w:pPr>
    </w:p>
    <w:p>
      <w:pPr>
        <w:jc w:val="both"/>
        <w:spacing w:after="0" w:line="221" w:lineRule="exact"/>
        <w:rPr>
          <w:sz w:val="20"/>
          <w:szCs w:val="20"/>
          <w:color w:val="auto"/>
        </w:rPr>
      </w:pPr>
      <w:r>
        <w:rPr>
          <w:rFonts w:ascii="Arial" w:cs="Arial" w:eastAsia="Arial" w:hAnsi="Arial"/>
          <w:sz w:val="17"/>
          <w:szCs w:val="17"/>
          <w:b w:val="1"/>
          <w:bCs w:val="1"/>
          <w:i w:val="1"/>
          <w:iCs w:val="1"/>
          <w:color w:val="auto"/>
        </w:rPr>
        <w:t xml:space="preserve">Purchase Commitment </w:t>
      </w:r>
      <w:r>
        <w:rPr>
          <w:rFonts w:ascii="Arial" w:cs="Arial" w:eastAsia="Arial" w:hAnsi="Arial"/>
          <w:sz w:val="17"/>
          <w:szCs w:val="17"/>
          <w:color w:val="auto"/>
        </w:rPr>
        <w:t>— In the normal course of business, the Company enters into various purchase commitments for goods and services. As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March 31, 2022, the non</w:t>
      </w:r>
      <w:r>
        <w:rPr>
          <w:rFonts w:ascii="MS PGothic" w:cs="MS PGothic" w:eastAsia="MS PGothic" w:hAnsi="MS PGothic"/>
          <w:sz w:val="17"/>
          <w:szCs w:val="17"/>
          <w:color w:val="auto"/>
        </w:rPr>
        <w:t>‑</w:t>
      </w:r>
      <w:r>
        <w:rPr>
          <w:rFonts w:ascii="Arial" w:cs="Arial" w:eastAsia="Arial" w:hAnsi="Arial"/>
          <w:sz w:val="17"/>
          <w:szCs w:val="17"/>
          <w:color w:val="auto"/>
        </w:rPr>
        <w:t>cancelable future cash purchase commitment for services related to the cloud provisioning of the Company’s software solutions was $41,947 through May 2023. The Company expects to fully consume its contractual commitment in the ordinary course of operations.</w:t>
      </w:r>
    </w:p>
    <w:p>
      <w:pPr>
        <w:spacing w:after="0" w:line="202"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b w:val="1"/>
          <w:bCs w:val="1"/>
          <w:i w:val="1"/>
          <w:iCs w:val="1"/>
          <w:color w:val="auto"/>
        </w:rPr>
        <w:t xml:space="preserve">Operating Leases </w:t>
      </w:r>
      <w:r>
        <w:rPr>
          <w:rFonts w:ascii="Arial" w:cs="Arial" w:eastAsia="Arial" w:hAnsi="Arial"/>
          <w:sz w:val="18"/>
          <w:szCs w:val="18"/>
          <w:color w:val="auto"/>
        </w:rPr>
        <w:t>— The Company leases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31F20"/>
        </w:rPr>
        <w:t>office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31F20"/>
        </w:rPr>
        <w:t>office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equipment, and automobiles under operating leases having initial or remaining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cancelable terms in excess of one year (see Note 8).</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Litigation </w:t>
      </w:r>
      <w:r>
        <w:rPr>
          <w:rFonts w:ascii="Arial" w:cs="Arial" w:eastAsia="Arial" w:hAnsi="Arial"/>
          <w:sz w:val="18"/>
          <w:szCs w:val="18"/>
          <w:color w:val="auto"/>
        </w:rPr>
        <w:t>— From time to time, the Company is involved in certain legal actions arising in the ordinary course of business. In management’s opinion,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based upon the advice of counsel, the outcome of such actions is not expected to have a material adverse effect on the Company’s future financial position, results of operations, or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Geographic Data</w:t>
      </w:r>
    </w:p>
    <w:p>
      <w:pPr>
        <w:spacing w:after="0" w:line="229"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Revenues by geographic area are presented in Note 3. The following table presents the Company’s long</w:t>
      </w:r>
      <w:r>
        <w:rPr>
          <w:rFonts w:ascii="MS PGothic" w:cs="MS PGothic" w:eastAsia="MS PGothic" w:hAnsi="MS PGothic"/>
          <w:sz w:val="18"/>
          <w:szCs w:val="18"/>
          <w:color w:val="auto"/>
        </w:rPr>
        <w:t>‑</w:t>
      </w:r>
      <w:r>
        <w:rPr>
          <w:rFonts w:ascii="Arial" w:cs="Arial" w:eastAsia="Arial" w:hAnsi="Arial"/>
          <w:sz w:val="18"/>
          <w:szCs w:val="18"/>
          <w:color w:val="auto"/>
        </w:rPr>
        <w:t>lived assets (other than goodwill), net of depreciation and amortization by geographic region (see Notes 5, 6, and 8):</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31, 2022</w:t>
            </w:r>
          </w:p>
        </w:tc>
        <w:tc>
          <w:tcPr>
            <w:tcW w:w="200" w:type="dxa"/>
            <w:vAlign w:val="bottom"/>
          </w:tcPr>
          <w:p>
            <w:pPr>
              <w:spacing w:after="0"/>
              <w:rPr>
                <w:sz w:val="18"/>
                <w:szCs w:val="18"/>
                <w:color w:val="auto"/>
              </w:rPr>
            </w:pPr>
          </w:p>
        </w:tc>
        <w:tc>
          <w:tcPr>
            <w:tcW w:w="1740" w:type="dxa"/>
            <w:vAlign w:val="bottom"/>
          </w:tcPr>
          <w:p>
            <w:pPr>
              <w:jc w:val="right"/>
              <w:ind w:right="232"/>
              <w:spacing w:after="0"/>
              <w:rPr>
                <w:sz w:val="20"/>
                <w:szCs w:val="20"/>
                <w:color w:val="auto"/>
              </w:rPr>
            </w:pPr>
            <w:r>
              <w:rPr>
                <w:rFonts w:ascii="Arial" w:cs="Arial" w:eastAsia="Arial" w:hAnsi="Arial"/>
                <w:sz w:val="16"/>
                <w:szCs w:val="16"/>
                <w:b w:val="1"/>
                <w:bCs w:val="1"/>
                <w:color w:val="auto"/>
                <w:w w:val="97"/>
              </w:rPr>
              <w:t>December 31, 2021</w:t>
            </w:r>
          </w:p>
        </w:tc>
      </w:tr>
      <w:tr>
        <w:trPr>
          <w:trHeight w:val="226"/>
        </w:trPr>
        <w:tc>
          <w:tcPr>
            <w:tcW w:w="7100" w:type="dxa"/>
            <w:vAlign w:val="bottom"/>
            <w:tcBorders>
              <w:top w:val="single" w:sz="8" w:color="CCEEFF"/>
            </w:tcBorders>
            <w:gridSpan w:val="2"/>
            <w:shd w:val="clear" w:color="auto" w:fill="CCEEFF"/>
          </w:tcPr>
          <w:p>
            <w:pPr>
              <w:ind w:left="40"/>
              <w:spacing w:after="0" w:line="226" w:lineRule="exact"/>
              <w:rPr>
                <w:sz w:val="20"/>
                <w:szCs w:val="20"/>
                <w:color w:val="auto"/>
              </w:rPr>
            </w:pPr>
            <w:r>
              <w:rPr>
                <w:rFonts w:ascii="Arial" w:cs="Arial" w:eastAsia="Arial" w:hAnsi="Arial"/>
                <w:sz w:val="18"/>
                <w:szCs w:val="18"/>
                <w:color w:val="auto"/>
              </w:rPr>
              <w:t xml:space="preserve">Americas </w:t>
            </w:r>
            <w:r>
              <w:rPr>
                <w:rFonts w:ascii="Arial" w:cs="Arial" w:eastAsia="Arial" w:hAnsi="Arial"/>
                <w:sz w:val="23"/>
                <w:szCs w:val="23"/>
                <w:color w:val="auto"/>
                <w:vertAlign w:val="superscript"/>
              </w:rPr>
              <w:t>(1)</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188,292</w:t>
            </w:r>
          </w:p>
        </w:tc>
        <w:tc>
          <w:tcPr>
            <w:tcW w:w="2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99,500</w:t>
            </w:r>
          </w:p>
        </w:tc>
      </w:tr>
      <w:tr>
        <w:trPr>
          <w:trHeight w:val="229"/>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EMEA</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40,574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44,730</w:t>
            </w:r>
          </w:p>
        </w:tc>
      </w:tr>
      <w:tr>
        <w:trPr>
          <w:trHeight w:val="230"/>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APAC</w:t>
            </w:r>
          </w:p>
        </w:tc>
        <w:tc>
          <w:tcPr>
            <w:tcW w:w="2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181,638</w:t>
            </w: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184,245</w:t>
            </w:r>
          </w:p>
        </w:tc>
      </w:tr>
      <w:tr>
        <w:trPr>
          <w:trHeight w:val="223"/>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Total long-lived assets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410,504</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328,475</w:t>
            </w:r>
          </w:p>
        </w:tc>
      </w:tr>
      <w:tr>
        <w:trPr>
          <w:trHeight w:val="20"/>
        </w:trPr>
        <w:tc>
          <w:tcPr>
            <w:tcW w:w="30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96"/>
        </w:trPr>
        <w:tc>
          <w:tcPr>
            <w:tcW w:w="3000" w:type="dxa"/>
            <w:vAlign w:val="bottom"/>
            <w:tcBorders>
              <w:bottom w:val="single" w:sz="8" w:color="auto"/>
            </w:tcBorders>
          </w:tcPr>
          <w:p>
            <w:pPr>
              <w:spacing w:after="0"/>
              <w:rPr>
                <w:sz w:val="17"/>
                <w:szCs w:val="17"/>
                <w:color w:val="auto"/>
              </w:rPr>
            </w:pPr>
          </w:p>
        </w:tc>
        <w:tc>
          <w:tcPr>
            <w:tcW w:w="4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r>
    </w:tbl>
    <w:p>
      <w:pPr>
        <w:spacing w:after="0" w:line="134"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Americas includes the U.S., Canada, and Latin America (including the Caribbean).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Note 20: Interest Expense,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net is comprised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Three Months Ended</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0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4"/>
              </w:rPr>
              <w:t>March 31,</w:t>
            </w: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00" w:type="dxa"/>
            <w:vAlign w:val="bottom"/>
            <w:tcBorders>
              <w:bottom w:val="single" w:sz="8" w:color="CCEEFF"/>
            </w:tcBorders>
          </w:tcPr>
          <w:p>
            <w:pPr>
              <w:spacing w:after="0"/>
              <w:rPr>
                <w:sz w:val="18"/>
                <w:szCs w:val="18"/>
                <w:color w:val="auto"/>
              </w:rPr>
            </w:pPr>
          </w:p>
        </w:tc>
        <w:tc>
          <w:tcPr>
            <w:tcW w:w="48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2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w w:val="89"/>
              </w:rPr>
              <w:t>2021</w:t>
            </w:r>
          </w:p>
        </w:tc>
        <w:tc>
          <w:tcPr>
            <w:tcW w:w="0" w:type="dxa"/>
            <w:vAlign w:val="bottom"/>
          </w:tcPr>
          <w:p>
            <w:pPr>
              <w:spacing w:after="0"/>
              <w:rPr>
                <w:sz w:val="1"/>
                <w:szCs w:val="1"/>
                <w:color w:val="auto"/>
              </w:rPr>
            </w:pPr>
          </w:p>
        </w:tc>
      </w:tr>
      <w:tr>
        <w:trPr>
          <w:trHeight w:val="226"/>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 (see Note 10)</w:t>
            </w:r>
          </w:p>
        </w:tc>
        <w:tc>
          <w:tcPr>
            <w:tcW w:w="940" w:type="dxa"/>
            <w:vAlign w:val="bottom"/>
            <w:shd w:val="clear" w:color="auto" w:fill="CCEEFF"/>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(7,124)</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Interest income</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6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940" w:type="dxa"/>
            <w:vAlign w:val="bottom"/>
            <w:tcBorders>
              <w:bottom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(7,042)</w:t>
            </w:r>
          </w:p>
        </w:tc>
        <w:tc>
          <w:tcPr>
            <w:tcW w:w="2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(2,319)</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Note 21: Other Income, Net</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786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60" w:type="dxa"/>
            <w:vAlign w:val="bottom"/>
            <w:gridSpan w:val="2"/>
          </w:tcPr>
          <w:p>
            <w:pPr>
              <w:spacing w:after="0"/>
              <w:rPr>
                <w:sz w:val="20"/>
                <w:szCs w:val="20"/>
                <w:color w:val="auto"/>
              </w:rPr>
            </w:pPr>
            <w:r>
              <w:rPr>
                <w:rFonts w:ascii="Arial" w:cs="Arial" w:eastAsia="Arial" w:hAnsi="Arial"/>
                <w:sz w:val="18"/>
                <w:szCs w:val="18"/>
                <w:color w:val="auto"/>
              </w:rPr>
              <w:t>Other income, net is comprised of the following:</w:t>
            </w: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0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Three Months Ended</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00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4"/>
              </w:rPr>
              <w:t>March 31,</w:t>
            </w: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00" w:type="dxa"/>
            <w:vAlign w:val="bottom"/>
            <w:tcBorders>
              <w:bottom w:val="single" w:sz="8" w:color="CCEEFF"/>
            </w:tcBorders>
          </w:tcPr>
          <w:p>
            <w:pPr>
              <w:spacing w:after="0"/>
              <w:rPr>
                <w:sz w:val="18"/>
                <w:szCs w:val="18"/>
                <w:color w:val="auto"/>
              </w:rPr>
            </w:pPr>
          </w:p>
        </w:tc>
        <w:tc>
          <w:tcPr>
            <w:tcW w:w="48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2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w w:val="89"/>
              </w:rPr>
              <w:t>2021</w:t>
            </w:r>
          </w:p>
        </w:tc>
        <w:tc>
          <w:tcPr>
            <w:tcW w:w="0" w:type="dxa"/>
            <w:vAlign w:val="bottom"/>
          </w:tcPr>
          <w:p>
            <w:pPr>
              <w:spacing w:after="0"/>
              <w:rPr>
                <w:sz w:val="1"/>
                <w:szCs w:val="1"/>
                <w:color w:val="auto"/>
              </w:rPr>
            </w:pPr>
          </w:p>
        </w:tc>
      </w:tr>
      <w:tr>
        <w:trPr>
          <w:trHeight w:val="226"/>
        </w:trPr>
        <w:tc>
          <w:tcPr>
            <w:tcW w:w="786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Foreign exchange (loss) gain </w:t>
            </w:r>
            <w:r>
              <w:rPr>
                <w:rFonts w:ascii="Arial" w:cs="Arial" w:eastAsia="Arial" w:hAnsi="Arial"/>
                <w:sz w:val="23"/>
                <w:szCs w:val="23"/>
                <w:color w:val="auto"/>
                <w:vertAlign w:val="superscript"/>
              </w:rPr>
              <w:t>(1)</w:t>
            </w:r>
          </w:p>
        </w:tc>
        <w:tc>
          <w:tcPr>
            <w:tcW w:w="940" w:type="dxa"/>
            <w:vAlign w:val="bottom"/>
            <w:shd w:val="clear" w:color="auto" w:fill="CCEEFF"/>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(3,071)</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Other income, net </w:t>
            </w:r>
            <w:r>
              <w:rPr>
                <w:rFonts w:ascii="Arial" w:cs="Arial" w:eastAsia="Arial" w:hAnsi="Arial"/>
                <w:sz w:val="23"/>
                <w:szCs w:val="23"/>
                <w:color w:val="auto"/>
                <w:vertAlign w:val="superscript"/>
              </w:rPr>
              <w:t>(2)</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13,712</w:t>
            </w:r>
          </w:p>
        </w:tc>
        <w:tc>
          <w:tcPr>
            <w:tcW w:w="26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13,690</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other income, net</w:t>
            </w:r>
          </w:p>
        </w:tc>
        <w:tc>
          <w:tcPr>
            <w:tcW w:w="940" w:type="dxa"/>
            <w:vAlign w:val="bottom"/>
            <w:tcBorders>
              <w:bottom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10,641</w:t>
            </w:r>
          </w:p>
        </w:tc>
        <w:tc>
          <w:tcPr>
            <w:tcW w:w="2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14,482</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000" w:type="dxa"/>
            <w:vAlign w:val="bottom"/>
            <w:tcBorders>
              <w:bottom w:val="single" w:sz="8" w:color="auto"/>
            </w:tcBorders>
          </w:tcPr>
          <w:p>
            <w:pPr>
              <w:spacing w:after="0"/>
              <w:rPr>
                <w:sz w:val="15"/>
                <w:szCs w:val="15"/>
                <w:color w:val="auto"/>
              </w:rPr>
            </w:pPr>
          </w:p>
        </w:tc>
        <w:tc>
          <w:tcPr>
            <w:tcW w:w="4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340" w:hanging="332"/>
        <w:spacing w:after="0" w:line="277" w:lineRule="auto"/>
        <w:tabs>
          <w:tab w:leader="none" w:pos="334"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Foreign exchange (loss) gain is primarily attributable to foreign currency translation derived primarily from U.S. Dollar denominated cash and cash equivalents, account receivables, customer deposits, and intercompany balances held by foreign subsidiaries.</w:t>
      </w:r>
    </w:p>
    <w:p>
      <w:pPr>
        <w:spacing w:after="0" w:line="116" w:lineRule="exact"/>
        <w:rPr>
          <w:rFonts w:ascii="Arial" w:cs="Arial" w:eastAsia="Arial" w:hAnsi="Arial"/>
          <w:sz w:val="18"/>
          <w:szCs w:val="18"/>
          <w:color w:val="auto"/>
        </w:rPr>
      </w:pPr>
    </w:p>
    <w:p>
      <w:pPr>
        <w:jc w:val="both"/>
        <w:ind w:left="340" w:hanging="332"/>
        <w:spacing w:after="0" w:line="259" w:lineRule="auto"/>
        <w:tabs>
          <w:tab w:leader="none" w:pos="334" w:val="left"/>
        </w:tabs>
        <w:numPr>
          <w:ilvl w:val="0"/>
          <w:numId w:val="14"/>
        </w:numPr>
        <w:rPr>
          <w:rFonts w:ascii="Arial" w:cs="Arial" w:eastAsia="Arial" w:hAnsi="Arial"/>
          <w:sz w:val="18"/>
          <w:szCs w:val="18"/>
          <w:color w:val="212529"/>
        </w:rPr>
      </w:pPr>
      <w:r>
        <w:rPr>
          <w:rFonts w:ascii="Arial" w:cs="Arial" w:eastAsia="Arial" w:hAnsi="Arial"/>
          <w:sz w:val="18"/>
          <w:szCs w:val="18"/>
          <w:color w:val="auto"/>
        </w:rPr>
        <w:t>For the three months ended March 31, 2022, other income, net includes a gain from the change in fair value of the Company’s interest rate swap of $12,084 (see Note 17) and a gain on the sale of 50% of the Company’s interest in its aircraft of $2,029 (see Note 5), partially offset by a loss from the change in fair value of acquisition contingent consideration of $500. For the three months ended March 31, 2021, other income, net includes a gain from the change in fair value of the Company’s interest rate swap of $13,661 (see Note 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Note 22: Net Income Per Share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issues certain performance-based RSUs determined to be participating securities because holders of such shares have non-forfeitable dividend rights in the event of the Company’s declaration of a dividend for common shares. As of March 31, 2022, there were 305,785 participating securities outstanding. As of March 31, 2021, there were no participating securities outstanding.</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Undistributed net income allocated to participating securities are subtracted from net income in determining basic net income attributable to common stockholders. Basic net income per share is computed by dividing basic net income attributable to common stockholders by the weighted average number of shares, inclusive of undistributed shares held in the DCP as phantom shares of the Company’s Class B Common Stock.</w:t>
      </w:r>
    </w:p>
    <w:p>
      <w:pPr>
        <w:spacing w:after="0" w:line="16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212529"/>
        </w:rPr>
        <w:t xml:space="preserve">For the Company’s diluted </w:t>
      </w:r>
      <w:r>
        <w:rPr>
          <w:rFonts w:ascii="Arial" w:cs="Arial" w:eastAsia="Arial" w:hAnsi="Arial"/>
          <w:sz w:val="16"/>
          <w:szCs w:val="16"/>
          <w:color w:val="000000"/>
        </w:rPr>
        <w:t>net income per share</w:t>
      </w:r>
      <w:r>
        <w:rPr>
          <w:rFonts w:ascii="Arial" w:cs="Arial" w:eastAsia="Arial" w:hAnsi="Arial"/>
          <w:sz w:val="16"/>
          <w:szCs w:val="16"/>
          <w:color w:val="212529"/>
        </w:rPr>
        <w:t xml:space="preserve"> numerator, interest expense, net of tax, attributable to the conversion of the </w:t>
      </w:r>
      <w:r>
        <w:rPr>
          <w:rFonts w:ascii="Arial" w:cs="Arial" w:eastAsia="Arial" w:hAnsi="Arial"/>
          <w:sz w:val="16"/>
          <w:szCs w:val="16"/>
          <w:color w:val="000000"/>
        </w:rPr>
        <w:t>convertible senior notes</w:t>
      </w:r>
      <w:r>
        <w:rPr>
          <w:rFonts w:ascii="Arial" w:cs="Arial" w:eastAsia="Arial" w:hAnsi="Arial"/>
          <w:sz w:val="16"/>
          <w:szCs w:val="16"/>
          <w:color w:val="212529"/>
        </w:rPr>
        <w:t xml:space="preserve"> is added back to basic net income attributable to common stockholders. For the Company’s diluted </w:t>
      </w:r>
      <w:r>
        <w:rPr>
          <w:rFonts w:ascii="Arial" w:cs="Arial" w:eastAsia="Arial" w:hAnsi="Arial"/>
          <w:sz w:val="16"/>
          <w:szCs w:val="16"/>
          <w:color w:val="000000"/>
        </w:rPr>
        <w:t>net income per share</w:t>
      </w:r>
      <w:r>
        <w:rPr>
          <w:rFonts w:ascii="Arial" w:cs="Arial" w:eastAsia="Arial" w:hAnsi="Arial"/>
          <w:sz w:val="16"/>
          <w:szCs w:val="16"/>
          <w:color w:val="212529"/>
        </w:rPr>
        <w:t xml:space="preserve"> denominator, the basic weighted average number of shares is adjusted by the effect of dilutive securities, including awards under the Company’s equity compensation plans and ESPP, and by the dilutive </w:t>
      </w:r>
      <w:r>
        <w:rPr>
          <w:rFonts w:ascii="Arial" w:cs="Arial" w:eastAsia="Arial" w:hAnsi="Arial"/>
          <w:sz w:val="16"/>
          <w:szCs w:val="16"/>
          <w:color w:val="000000"/>
        </w:rPr>
        <w:t>effect of the assumed conversion of the convertible senior notes.</w:t>
      </w:r>
      <w:r>
        <w:rPr>
          <w:rFonts w:ascii="Arial" w:cs="Arial" w:eastAsia="Arial" w:hAnsi="Arial"/>
          <w:sz w:val="16"/>
          <w:szCs w:val="16"/>
          <w:color w:val="212529"/>
        </w:rPr>
        <w:t xml:space="preserve"> Diluted </w:t>
      </w:r>
      <w:r>
        <w:rPr>
          <w:rFonts w:ascii="Arial" w:cs="Arial" w:eastAsia="Arial" w:hAnsi="Arial"/>
          <w:sz w:val="16"/>
          <w:szCs w:val="16"/>
          <w:color w:val="000000"/>
        </w:rPr>
        <w:t>net income per share</w:t>
      </w:r>
      <w:r>
        <w:rPr>
          <w:rFonts w:ascii="Arial" w:cs="Arial" w:eastAsia="Arial" w:hAnsi="Arial"/>
          <w:sz w:val="16"/>
          <w:szCs w:val="16"/>
          <w:color w:val="212529"/>
        </w:rPr>
        <w:t xml:space="preserve"> attributable to common stockholders is computed by dividing diluted net income attributable to common stockholders by the weighted average number of fully diluted common shares.</w:t>
      </w:r>
    </w:p>
    <w:p>
      <w:pPr>
        <w:spacing w:after="0" w:line="161"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Except with respect to voting and conversion, the rights of the holders of the Company’s Class A Common Stock and the Company’s Class B Common Stock are identical. Each class of shares has the same rights to dividends and allocation of income (loss) and, therefore, net income per share would not differ under the two</w:t>
      </w:r>
      <w:r>
        <w:rPr>
          <w:rFonts w:ascii="MS PGothic" w:cs="MS PGothic" w:eastAsia="MS PGothic" w:hAnsi="MS PGothic"/>
          <w:sz w:val="18"/>
          <w:szCs w:val="18"/>
          <w:color w:val="auto"/>
        </w:rPr>
        <w:t>‑</w:t>
      </w:r>
      <w:r>
        <w:rPr>
          <w:rFonts w:ascii="Arial" w:cs="Arial" w:eastAsia="Arial" w:hAnsi="Arial"/>
          <w:sz w:val="18"/>
          <w:szCs w:val="18"/>
          <w:color w:val="auto"/>
        </w:rPr>
        <w:t>class method.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details of basic and diluted net income per share are as follows</w:t>
      </w:r>
      <w:r>
        <w:rPr>
          <w:rFonts w:ascii="Arial" w:cs="Arial" w:eastAsia="Arial" w:hAnsi="Arial"/>
          <w:sz w:val="18"/>
          <w:szCs w:val="18"/>
          <w:color w:val="212529"/>
        </w:rPr>
        <w: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0" w:type="dxa"/>
            <w:vAlign w:val="bottom"/>
            <w:gridSpan w:val="4"/>
          </w:tcPr>
          <w:p>
            <w:pPr>
              <w:jc w:val="right"/>
              <w:ind w:right="731"/>
              <w:spacing w:after="0"/>
              <w:rPr>
                <w:sz w:val="20"/>
                <w:szCs w:val="20"/>
                <w:color w:val="auto"/>
              </w:rPr>
            </w:pPr>
            <w:r>
              <w:rPr>
                <w:rFonts w:ascii="Arial" w:cs="Arial" w:eastAsia="Arial" w:hAnsi="Arial"/>
                <w:sz w:val="16"/>
                <w:szCs w:val="16"/>
                <w:b w:val="1"/>
                <w:bCs w:val="1"/>
                <w:color w:val="auto"/>
              </w:rPr>
              <w:t>Three Months Ended</w:t>
            </w:r>
          </w:p>
        </w:tc>
      </w:tr>
      <w:tr>
        <w:trPr>
          <w:trHeight w:val="219"/>
        </w:trPr>
        <w:tc>
          <w:tcPr>
            <w:tcW w:w="8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6"/>
                <w:szCs w:val="16"/>
                <w:b w:val="1"/>
                <w:bCs w:val="1"/>
                <w:color w:val="auto"/>
              </w:rPr>
              <w:t>March 31,</w:t>
            </w:r>
          </w:p>
        </w:tc>
        <w:tc>
          <w:tcPr>
            <w:tcW w:w="1080" w:type="dxa"/>
            <w:vAlign w:val="bottom"/>
            <w:tcBorders>
              <w:bottom w:val="single" w:sz="8" w:color="auto"/>
            </w:tcBorders>
          </w:tcPr>
          <w:p>
            <w:pPr>
              <w:spacing w:after="0"/>
              <w:rPr>
                <w:sz w:val="19"/>
                <w:szCs w:val="19"/>
                <w:color w:val="auto"/>
              </w:rPr>
            </w:pPr>
          </w:p>
        </w:tc>
      </w:tr>
      <w:tr>
        <w:trPr>
          <w:trHeight w:val="210"/>
        </w:trPr>
        <w:tc>
          <w:tcPr>
            <w:tcW w:w="8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2021</w:t>
            </w:r>
          </w:p>
        </w:tc>
      </w:tr>
      <w:tr>
        <w:trPr>
          <w:trHeight w:val="212"/>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56,388</w:t>
            </w:r>
          </w:p>
        </w:tc>
        <w:tc>
          <w:tcPr>
            <w:tcW w:w="160" w:type="dxa"/>
            <w:vAlign w:val="bottom"/>
          </w:tcPr>
          <w:p>
            <w:pPr>
              <w:spacing w:after="0"/>
              <w:rPr>
                <w:sz w:val="23"/>
                <w:szCs w:val="23"/>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57,006</w:t>
            </w:r>
          </w:p>
        </w:tc>
      </w:tr>
      <w:tr>
        <w:trPr>
          <w:trHeight w:val="270"/>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Net income attributable to participating securities</w:t>
            </w: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8120" w:type="dxa"/>
            <w:vAlign w:val="bottom"/>
          </w:tcPr>
          <w:p>
            <w:pPr>
              <w:ind w:left="360"/>
              <w:spacing w:after="0"/>
              <w:rPr>
                <w:sz w:val="20"/>
                <w:szCs w:val="20"/>
                <w:color w:val="auto"/>
              </w:rPr>
            </w:pPr>
            <w:r>
              <w:rPr>
                <w:rFonts w:ascii="Arial" w:cs="Arial" w:eastAsia="Arial" w:hAnsi="Arial"/>
                <w:sz w:val="18"/>
                <w:szCs w:val="18"/>
                <w:color w:val="auto"/>
              </w:rPr>
              <w:t>Net income attributable to Class A and Class B common stockholders, basic</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56,379</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57,006</w:t>
            </w:r>
          </w:p>
        </w:tc>
      </w:tr>
      <w:tr>
        <w:trPr>
          <w:trHeight w:val="270"/>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Interest expense, net of tax, attributable to assumed conversion of convertible senior notes</w:t>
            </w: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16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23"/>
        </w:trPr>
        <w:tc>
          <w:tcPr>
            <w:tcW w:w="8120" w:type="dxa"/>
            <w:vAlign w:val="bottom"/>
          </w:tcPr>
          <w:p>
            <w:pPr>
              <w:ind w:left="360"/>
              <w:spacing w:after="0"/>
              <w:rPr>
                <w:sz w:val="20"/>
                <w:szCs w:val="20"/>
                <w:color w:val="auto"/>
              </w:rPr>
            </w:pPr>
            <w:r>
              <w:rPr>
                <w:rFonts w:ascii="Arial" w:cs="Arial" w:eastAsia="Arial" w:hAnsi="Arial"/>
                <w:sz w:val="18"/>
                <w:szCs w:val="18"/>
                <w:color w:val="auto"/>
              </w:rPr>
              <w:t>Net income attributable to Class A and Class B common stockholders, diluted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58,074</w:t>
            </w:r>
          </w:p>
        </w:tc>
        <w:tc>
          <w:tcPr>
            <w:tcW w:w="16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57,136</w:t>
            </w:r>
          </w:p>
        </w:tc>
      </w:tr>
      <w:tr>
        <w:trPr>
          <w:trHeight w:val="20"/>
        </w:trPr>
        <w:tc>
          <w:tcPr>
            <w:tcW w:w="8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8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812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70"/>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 average shares, basic</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307,969,672</w:t>
            </w:r>
          </w:p>
        </w:tc>
        <w:tc>
          <w:tcPr>
            <w:tcW w:w="1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302,583,452</w:t>
            </w:r>
          </w:p>
        </w:tc>
      </w:tr>
      <w:tr>
        <w:trPr>
          <w:trHeight w:val="270"/>
        </w:trPr>
        <w:tc>
          <w:tcPr>
            <w:tcW w:w="8120" w:type="dxa"/>
            <w:vAlign w:val="bottom"/>
          </w:tcPr>
          <w:p>
            <w:pPr>
              <w:ind w:left="180"/>
              <w:spacing w:after="0"/>
              <w:rPr>
                <w:sz w:val="20"/>
                <w:szCs w:val="20"/>
                <w:color w:val="auto"/>
              </w:rPr>
            </w:pPr>
            <w:r>
              <w:rPr>
                <w:rFonts w:ascii="Arial" w:cs="Arial" w:eastAsia="Arial" w:hAnsi="Arial"/>
                <w:sz w:val="18"/>
                <w:szCs w:val="18"/>
                <w:color w:val="auto"/>
              </w:rPr>
              <w:t>Dilutive effect of stock options, restricted stock, and RSUs</w:t>
            </w: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5,542,252</w:t>
            </w: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11,388,113</w:t>
            </w:r>
          </w:p>
        </w:tc>
      </w:tr>
      <w:tr>
        <w:trPr>
          <w:trHeight w:val="270"/>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Dilutive effect of ESPP</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150,709</w:t>
            </w:r>
          </w:p>
        </w:tc>
        <w:tc>
          <w:tcPr>
            <w:tcW w:w="1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114,364</w:t>
            </w:r>
          </w:p>
        </w:tc>
      </w:tr>
      <w:tr>
        <w:trPr>
          <w:trHeight w:val="270"/>
        </w:trPr>
        <w:tc>
          <w:tcPr>
            <w:tcW w:w="81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Dilutive effect of assumed conversion of convertible senior notes</w:t>
            </w: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17,667,623</w:t>
            </w:r>
          </w:p>
        </w:tc>
        <w:tc>
          <w:tcPr>
            <w:tcW w:w="16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7,650,720</w:t>
            </w:r>
          </w:p>
        </w:tc>
      </w:tr>
      <w:tr>
        <w:trPr>
          <w:trHeight w:val="248"/>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shares, diluted</w:t>
            </w: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331,330,256</w:t>
            </w:r>
          </w:p>
        </w:tc>
        <w:tc>
          <w:tcPr>
            <w:tcW w:w="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321,736,649</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5"/>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 basic</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120" w:type="dxa"/>
            <w:vAlign w:val="bottom"/>
          </w:tcPr>
          <w:p>
            <w:pPr>
              <w:ind w:left="20"/>
              <w:spacing w:after="0" w:line="203" w:lineRule="exact"/>
              <w:rPr>
                <w:sz w:val="20"/>
                <w:szCs w:val="20"/>
                <w:color w:val="auto"/>
              </w:rPr>
            </w:pPr>
            <w:r>
              <w:rPr>
                <w:rFonts w:ascii="Arial" w:cs="Arial" w:eastAsia="Arial" w:hAnsi="Arial"/>
                <w:sz w:val="18"/>
                <w:szCs w:val="18"/>
                <w:color w:val="auto"/>
              </w:rPr>
              <w:t>Net income per share, diluted</w:t>
            </w:r>
          </w:p>
        </w:tc>
        <w:tc>
          <w:tcPr>
            <w:tcW w:w="3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0.18</w:t>
            </w:r>
          </w:p>
        </w:tc>
        <w:tc>
          <w:tcPr>
            <w:tcW w:w="160" w:type="dxa"/>
            <w:vAlign w:val="bottom"/>
          </w:tcPr>
          <w:p>
            <w:pPr>
              <w:spacing w:after="0"/>
              <w:rPr>
                <w:sz w:val="17"/>
                <w:szCs w:val="17"/>
                <w:color w:val="auto"/>
              </w:rPr>
            </w:pPr>
          </w:p>
        </w:tc>
        <w:tc>
          <w:tcPr>
            <w:tcW w:w="40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0.18</w:t>
            </w:r>
          </w:p>
        </w:tc>
      </w:tr>
      <w:tr>
        <w:trPr>
          <w:trHeight w:val="20"/>
        </w:trPr>
        <w:tc>
          <w:tcPr>
            <w:tcW w:w="8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9" w:name="page40"/>
    <w:bookmarkEnd w:id="39"/>
    <w:p>
      <w:pPr>
        <w:spacing w:after="0" w:line="223" w:lineRule="exact"/>
        <w:rPr>
          <w:sz w:val="20"/>
          <w:szCs w:val="20"/>
          <w:color w:val="auto"/>
        </w:rPr>
      </w:pPr>
      <w:r>
        <w:rPr>
          <w:rFonts w:ascii="Arial" w:cs="Arial" w:eastAsia="Arial" w:hAnsi="Arial"/>
          <w:sz w:val="18"/>
          <w:szCs w:val="18"/>
          <w:color w:val="auto"/>
        </w:rPr>
        <w:t>The following potential common shares were excluded from the calculation of diluted net income per share attributable to common stockholders because their effect would have been anti</w:t>
      </w:r>
      <w:r>
        <w:rPr>
          <w:rFonts w:ascii="MS PGothic" w:cs="MS PGothic" w:eastAsia="MS PGothic" w:hAnsi="MS PGothic"/>
          <w:sz w:val="18"/>
          <w:szCs w:val="18"/>
          <w:color w:val="auto"/>
        </w:rPr>
        <w:t>‑</w:t>
      </w:r>
      <w:r>
        <w:rPr>
          <w:rFonts w:ascii="Arial" w:cs="Arial" w:eastAsia="Arial" w:hAnsi="Arial"/>
          <w:sz w:val="18"/>
          <w:szCs w:val="18"/>
          <w:color w:val="auto"/>
        </w:rPr>
        <w:t>dilutive for the periods presented: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33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3"/>
              </w:rPr>
              <w:t>Three Months Ended</w:t>
            </w:r>
          </w:p>
        </w:tc>
      </w:tr>
      <w:tr>
        <w:trPr>
          <w:trHeight w:val="219"/>
        </w:trPr>
        <w:tc>
          <w:tcPr>
            <w:tcW w:w="7900" w:type="dxa"/>
            <w:vAlign w:val="bottom"/>
          </w:tcPr>
          <w:p>
            <w:pPr>
              <w:spacing w:after="0"/>
              <w:rPr>
                <w:sz w:val="19"/>
                <w:szCs w:val="19"/>
                <w:color w:val="auto"/>
              </w:rPr>
            </w:pPr>
          </w:p>
        </w:tc>
        <w:tc>
          <w:tcPr>
            <w:tcW w:w="2200" w:type="dxa"/>
            <w:vAlign w:val="bottom"/>
            <w:tcBorders>
              <w:bottom w:val="single" w:sz="8" w:color="auto"/>
            </w:tcBorders>
            <w:gridSpan w:val="3"/>
          </w:tcPr>
          <w:p>
            <w:pPr>
              <w:jc w:val="center"/>
              <w:ind w:left="1055"/>
              <w:spacing w:after="0"/>
              <w:rPr>
                <w:sz w:val="20"/>
                <w:szCs w:val="20"/>
                <w:color w:val="auto"/>
              </w:rPr>
            </w:pPr>
            <w:r>
              <w:rPr>
                <w:rFonts w:ascii="Arial" w:cs="Arial" w:eastAsia="Arial" w:hAnsi="Arial"/>
                <w:sz w:val="16"/>
                <w:szCs w:val="16"/>
                <w:b w:val="1"/>
                <w:bCs w:val="1"/>
                <w:color w:val="auto"/>
                <w:w w:val="94"/>
              </w:rPr>
              <w:t>March 31,</w:t>
            </w:r>
          </w:p>
        </w:tc>
        <w:tc>
          <w:tcPr>
            <w:tcW w:w="1140" w:type="dxa"/>
            <w:vAlign w:val="bottom"/>
            <w:tcBorders>
              <w:bottom w:val="single" w:sz="8" w:color="auto"/>
            </w:tcBorders>
          </w:tcPr>
          <w:p>
            <w:pPr>
              <w:spacing w:after="0"/>
              <w:rPr>
                <w:sz w:val="19"/>
                <w:szCs w:val="19"/>
                <w:color w:val="auto"/>
              </w:rPr>
            </w:pPr>
          </w:p>
        </w:tc>
      </w:tr>
      <w:tr>
        <w:trPr>
          <w:trHeight w:val="210"/>
        </w:trPr>
        <w:tc>
          <w:tcPr>
            <w:tcW w:w="79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2021</w:t>
            </w:r>
          </w:p>
        </w:tc>
      </w:tr>
      <w:tr>
        <w:trPr>
          <w:trHeight w:val="226"/>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restricted stock, and RSUs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1,282,161</w:t>
            </w:r>
          </w:p>
        </w:tc>
        <w:tc>
          <w:tcPr>
            <w:tcW w:w="2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6,714</w:t>
            </w:r>
          </w:p>
        </w:tc>
      </w:tr>
      <w:tr>
        <w:trPr>
          <w:trHeight w:val="223"/>
        </w:trPr>
        <w:tc>
          <w:tcPr>
            <w:tcW w:w="7900" w:type="dxa"/>
            <w:vAlign w:val="bottom"/>
          </w:tcPr>
          <w:p>
            <w:pPr>
              <w:ind w:left="20"/>
              <w:spacing w:after="0"/>
              <w:rPr>
                <w:sz w:val="20"/>
                <w:szCs w:val="20"/>
                <w:color w:val="auto"/>
              </w:rPr>
            </w:pPr>
            <w:r>
              <w:rPr>
                <w:rFonts w:ascii="Arial" w:cs="Arial" w:eastAsia="Arial" w:hAnsi="Arial"/>
                <w:sz w:val="18"/>
                <w:szCs w:val="18"/>
                <w:color w:val="auto"/>
              </w:rPr>
              <w:t>Total anti-dilutive securities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1,282,161</w:t>
            </w:r>
          </w:p>
        </w:tc>
        <w:tc>
          <w:tcPr>
            <w:tcW w:w="2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6,714</w:t>
            </w:r>
          </w:p>
        </w:tc>
      </w:tr>
      <w:tr>
        <w:trPr>
          <w:trHeight w:val="21"/>
        </w:trPr>
        <w:tc>
          <w:tcPr>
            <w:tcW w:w="79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i w:val="1"/>
          <w:iCs w:val="1"/>
          <w:color w:val="auto"/>
        </w:rPr>
        <w:t>The following discussion should be read in conjunction with our unaudited consolidated financial statements and notes thereto appearing in Part I, Item 1 of this Quarterly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Q and with our audited consolidated financial statements and notes thereto included in Part II, Item 8 of our 2021 Annual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K on file with the United States Securities and Exchange Commission (“SEC”). In addition to historical information, this discussion contains forward</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looking statements that involve risks, uncertainties, and assumptions that could cause actual results to differ materially from management’s expectations. Factors that could cause such differences are set forth in Part II, Item 1A. Risk Factors of this Quarterly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Q.</w:t>
      </w:r>
    </w:p>
    <w:p>
      <w:pPr>
        <w:spacing w:after="0" w:line="20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All amounts presented in this Management’s Discussion and Analysis of Financial Condition and Results of Operations, except share and per share amounts, are presented in thousands. Additionally, many of the amounts and percentages have been rounded for convenience of presentation.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We are a leading global provider of software for infrastructure engineering, enabling the work of civil, structural, geoprofessional, and plant engineering practitioners, their project delivery enterprises, and owner</w:t>
      </w:r>
      <w:r>
        <w:rPr>
          <w:rFonts w:ascii="MS PGothic" w:cs="MS PGothic" w:eastAsia="MS PGothic" w:hAnsi="MS PGothic"/>
          <w:sz w:val="18"/>
          <w:szCs w:val="18"/>
          <w:color w:val="auto"/>
        </w:rPr>
        <w:t>‑</w:t>
      </w:r>
      <w:r>
        <w:rPr>
          <w:rFonts w:ascii="Arial" w:cs="Arial" w:eastAsia="Arial" w:hAnsi="Arial"/>
          <w:sz w:val="18"/>
          <w:szCs w:val="18"/>
          <w:color w:val="auto"/>
        </w:rPr>
        <w:t>operators of infrastructure assets.</w:t>
      </w:r>
    </w:p>
    <w:p>
      <w:pPr>
        <w:spacing w:after="0" w:line="203"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Our enduring commitment is to develop and support the most comprehensive portfolio of integrated software offerings across professional disciplines, project and asset lifecycles, infrastructure sectors, and geographies. Our software enables digital workflows across engineering disciplines, distributed project teams, from offices to the field, and across computing form factors, including desktops, on</w:t>
      </w:r>
      <w:r>
        <w:rPr>
          <w:rFonts w:ascii="MS PGothic" w:cs="MS PGothic" w:eastAsia="MS PGothic" w:hAnsi="MS PGothic"/>
          <w:sz w:val="18"/>
          <w:szCs w:val="18"/>
          <w:color w:val="auto"/>
        </w:rPr>
        <w:t>‑</w:t>
      </w:r>
      <w:r>
        <w:rPr>
          <w:rFonts w:ascii="Arial" w:cs="Arial" w:eastAsia="Arial" w:hAnsi="Arial"/>
          <w:sz w:val="18"/>
          <w:szCs w:val="18"/>
          <w:color w:val="auto"/>
        </w:rPr>
        <w:t>premises servers, cloud</w:t>
      </w:r>
      <w:r>
        <w:rPr>
          <w:rFonts w:ascii="MS PGothic" w:cs="MS PGothic" w:eastAsia="MS PGothic" w:hAnsi="MS PGothic"/>
          <w:sz w:val="18"/>
          <w:szCs w:val="18"/>
          <w:color w:val="auto"/>
        </w:rPr>
        <w:t>‑</w:t>
      </w:r>
      <w:r>
        <w:rPr>
          <w:rFonts w:ascii="Arial" w:cs="Arial" w:eastAsia="Arial" w:hAnsi="Arial"/>
          <w:sz w:val="18"/>
          <w:szCs w:val="18"/>
          <w:color w:val="auto"/>
        </w:rPr>
        <w:t>native services, mobile devices, and web browsers. We deliver our solutions via on</w:t>
      </w:r>
      <w:r>
        <w:rPr>
          <w:rFonts w:ascii="MS PGothic" w:cs="MS PGothic" w:eastAsia="MS PGothic" w:hAnsi="MS PGothic"/>
          <w:sz w:val="18"/>
          <w:szCs w:val="18"/>
          <w:color w:val="auto"/>
        </w:rPr>
        <w:t>‑</w:t>
      </w:r>
      <w:r>
        <w:rPr>
          <w:rFonts w:ascii="Arial" w:cs="Arial" w:eastAsia="Arial" w:hAnsi="Arial"/>
          <w:sz w:val="18"/>
          <w:szCs w:val="18"/>
          <w:color w:val="auto"/>
        </w:rPr>
        <w:t>premises, cloud, and hybrid environments. Our users engineer, construct, and operate projects and assets across the following infrastructure sectors:</w:t>
      </w:r>
    </w:p>
    <w:p>
      <w:pPr>
        <w:spacing w:after="0" w:line="205" w:lineRule="exact"/>
        <w:rPr>
          <w:sz w:val="20"/>
          <w:szCs w:val="20"/>
          <w:color w:val="auto"/>
        </w:rPr>
      </w:pPr>
    </w:p>
    <w:p>
      <w:pPr>
        <w:jc w:val="both"/>
        <w:ind w:left="820" w:hanging="245"/>
        <w:spacing w:after="0" w:line="259" w:lineRule="auto"/>
        <w:tabs>
          <w:tab w:leader="none" w:pos="815"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public works </w:t>
      </w:r>
      <w:r>
        <w:rPr>
          <w:rFonts w:ascii="Arial" w:cs="Arial" w:eastAsia="Arial" w:hAnsi="Arial"/>
          <w:sz w:val="18"/>
          <w:szCs w:val="18"/>
          <w:color w:val="auto"/>
        </w:rPr>
        <w:t>(including roads, rail, airports, ports, and water and wastewater networks)/</w:t>
      </w:r>
      <w:r>
        <w:rPr>
          <w:rFonts w:ascii="Arial" w:cs="Arial" w:eastAsia="Arial" w:hAnsi="Arial"/>
          <w:sz w:val="18"/>
          <w:szCs w:val="18"/>
          <w:i w:val="1"/>
          <w:iCs w:val="1"/>
          <w:color w:val="auto"/>
        </w:rPr>
        <w:t xml:space="preserve">utilities </w:t>
      </w:r>
      <w:r>
        <w:rPr>
          <w:rFonts w:ascii="Arial" w:cs="Arial" w:eastAsia="Arial" w:hAnsi="Arial"/>
          <w:sz w:val="18"/>
          <w:szCs w:val="18"/>
          <w:color w:val="auto"/>
        </w:rPr>
        <w:t>(including electric, gas, water,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communications). We estimate that this sector represents 52% of the net infrastructure asset value of the global top 500 infrastructure owners based on the 2021 edition of the </w:t>
      </w:r>
      <w:r>
        <w:rPr>
          <w:rFonts w:ascii="Arial" w:cs="Arial" w:eastAsia="Arial" w:hAnsi="Arial"/>
          <w:sz w:val="18"/>
          <w:szCs w:val="18"/>
          <w:i w:val="1"/>
          <w:iCs w:val="1"/>
          <w:color w:val="auto"/>
        </w:rPr>
        <w:t>Bentley Infrastructure 500 Top Owners</w:t>
      </w:r>
      <w:r>
        <w:rPr>
          <w:rFonts w:ascii="Arial" w:cs="Arial" w:eastAsia="Arial" w:hAnsi="Arial"/>
          <w:sz w:val="18"/>
          <w:szCs w:val="18"/>
          <w:color w:val="auto"/>
        </w:rPr>
        <w:t>, our annual compilation of the world’s largest infrastructure owners ranked by net depreciated value of their tangible fixed assets;</w:t>
      </w:r>
    </w:p>
    <w:p>
      <w:pPr>
        <w:spacing w:after="0" w:line="186" w:lineRule="exact"/>
        <w:rPr>
          <w:rFonts w:ascii="Arial" w:cs="Arial" w:eastAsia="Arial" w:hAnsi="Arial"/>
          <w:sz w:val="18"/>
          <w:szCs w:val="18"/>
          <w:color w:val="auto"/>
        </w:rPr>
      </w:pPr>
    </w:p>
    <w:p>
      <w:pPr>
        <w:jc w:val="both"/>
        <w:ind w:left="820" w:hanging="245"/>
        <w:spacing w:after="0" w:line="342" w:lineRule="auto"/>
        <w:tabs>
          <w:tab w:leader="none" w:pos="815"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industrial </w:t>
      </w:r>
      <w:r>
        <w:rPr>
          <w:rFonts w:ascii="Arial" w:cs="Arial" w:eastAsia="Arial" w:hAnsi="Arial"/>
          <w:sz w:val="16"/>
          <w:szCs w:val="16"/>
          <w:color w:val="auto"/>
        </w:rPr>
        <w:t>(including discrete and process manufacturing, power generation, and water treatment plants)/</w:t>
      </w:r>
      <w:r>
        <w:rPr>
          <w:rFonts w:ascii="Arial" w:cs="Arial" w:eastAsia="Arial" w:hAnsi="Arial"/>
          <w:sz w:val="16"/>
          <w:szCs w:val="16"/>
          <w:i w:val="1"/>
          <w:iCs w:val="1"/>
          <w:color w:val="auto"/>
        </w:rPr>
        <w:t xml:space="preserve">resources </w:t>
      </w:r>
      <w:r>
        <w:rPr>
          <w:rFonts w:ascii="Arial" w:cs="Arial" w:eastAsia="Arial" w:hAnsi="Arial"/>
          <w:sz w:val="16"/>
          <w:szCs w:val="16"/>
          <w:color w:val="auto"/>
        </w:rPr>
        <w:t>(including oil and gas,</w:t>
      </w:r>
      <w:r>
        <w:rPr>
          <w:rFonts w:ascii="Arial" w:cs="Arial" w:eastAsia="Arial" w:hAnsi="Arial"/>
          <w:sz w:val="16"/>
          <w:szCs w:val="16"/>
          <w:i w:val="1"/>
          <w:iCs w:val="1"/>
          <w:color w:val="auto"/>
        </w:rPr>
        <w:t xml:space="preserve"> </w:t>
      </w:r>
      <w:r>
        <w:rPr>
          <w:rFonts w:ascii="Arial" w:cs="Arial" w:eastAsia="Arial" w:hAnsi="Arial"/>
          <w:sz w:val="16"/>
          <w:szCs w:val="16"/>
          <w:color w:val="auto"/>
        </w:rPr>
        <w:t>mining, and offshore). We estimate that this sector represents 34% of the global top 500 infrastructure owners’ net infrastructure asset value; and</w:t>
      </w:r>
    </w:p>
    <w:p>
      <w:pPr>
        <w:spacing w:after="0" w:line="123" w:lineRule="exact"/>
        <w:rPr>
          <w:rFonts w:ascii="Arial" w:cs="Arial" w:eastAsia="Arial" w:hAnsi="Arial"/>
          <w:sz w:val="16"/>
          <w:szCs w:val="16"/>
          <w:color w:val="auto"/>
        </w:rPr>
      </w:pPr>
    </w:p>
    <w:p>
      <w:pPr>
        <w:ind w:left="820" w:hanging="245"/>
        <w:spacing w:after="0" w:line="277" w:lineRule="auto"/>
        <w:tabs>
          <w:tab w:leader="none" w:pos="815"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commercial/facilities </w:t>
      </w:r>
      <w:r>
        <w:rPr>
          <w:rFonts w:ascii="Arial" w:cs="Arial" w:eastAsia="Arial" w:hAnsi="Arial"/>
          <w:sz w:val="18"/>
          <w:szCs w:val="18"/>
          <w:color w:val="auto"/>
        </w:rPr>
        <w:t>(including office buildings, hospitals, and campuses). We estimate that this sector represents 14% of the global top 500</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 owners’ net infrastructure asset value.</w:t>
      </w:r>
    </w:p>
    <w:p>
      <w:pPr>
        <w:spacing w:after="0" w:line="170"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We offer solutions for enterprises and professionals across the infrastructure lifecycle. Our Engineering Applications and Geoprofessional Applications support the breadth of engineering and geoprofessional disciplines and are primarily desktop applications for professional practitioners. Our project delivery and asset performance Enterprise systems are provided via cloud and hybrid environments, developed respectively to extend enterprise collaboration during project delivery, and to manage and leverage engineering information during operations and maintenance. Our Industry Solutions solve domain</w:t>
      </w:r>
      <w:r>
        <w:rPr>
          <w:rFonts w:ascii="MS PGothic" w:cs="MS PGothic" w:eastAsia="MS PGothic" w:hAnsi="MS PGothic"/>
          <w:sz w:val="17"/>
          <w:szCs w:val="17"/>
          <w:color w:val="auto"/>
        </w:rPr>
        <w:t>‑</w:t>
      </w:r>
      <w:r>
        <w:rPr>
          <w:rFonts w:ascii="Arial" w:cs="Arial" w:eastAsia="Arial" w:hAnsi="Arial"/>
          <w:sz w:val="17"/>
          <w:szCs w:val="17"/>
          <w:color w:val="auto"/>
        </w:rPr>
        <w:t>specific problems for owners of infrastructure assets, and the project delivery ecosystems that support these owners. Our cloud-native iTwin Platform solutions enable digital twin workflows, which can span project and asset lifecycles.</w:t>
      </w:r>
    </w:p>
    <w:p>
      <w:pPr>
        <w:spacing w:after="0" w:line="202" w:lineRule="exact"/>
        <w:rPr>
          <w:sz w:val="20"/>
          <w:szCs w:val="20"/>
          <w:color w:val="auto"/>
        </w:rPr>
      </w:pPr>
    </w:p>
    <w:p>
      <w:pPr>
        <w:jc w:val="both"/>
        <w:spacing w:after="0" w:line="220" w:lineRule="exact"/>
        <w:rPr>
          <w:sz w:val="20"/>
          <w:szCs w:val="20"/>
          <w:color w:val="auto"/>
        </w:rPr>
      </w:pPr>
      <w:r>
        <w:rPr>
          <w:rFonts w:ascii="Arial" w:cs="Arial" w:eastAsia="Arial" w:hAnsi="Arial"/>
          <w:sz w:val="17"/>
          <w:szCs w:val="17"/>
          <w:color w:val="auto"/>
        </w:rPr>
        <w:t>We continue to make substantial investments in research and development because we believe the infrastructure engineering software market presents compelling opportunities for the application of new technologies that advance our current solutions. Our research and development roadmap balances technology advances and new offerings with continuous enhancements to existing offerings. Our allocation of research and development resources is guided by management</w:t>
      </w:r>
      <w:r>
        <w:rPr>
          <w:rFonts w:ascii="MS PGothic" w:cs="MS PGothic" w:eastAsia="MS PGothic" w:hAnsi="MS PGothic"/>
          <w:sz w:val="17"/>
          <w:szCs w:val="17"/>
          <w:color w:val="auto"/>
        </w:rPr>
        <w:t>‑</w:t>
      </w:r>
      <w:r>
        <w:rPr>
          <w:rFonts w:ascii="Arial" w:cs="Arial" w:eastAsia="Arial" w:hAnsi="Arial"/>
          <w:sz w:val="17"/>
          <w:szCs w:val="17"/>
          <w:color w:val="auto"/>
        </w:rPr>
        <w:t>established priorities, input from product managers, and user and sales force feedback.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We bring our offerings to market primarily through direct sales channels that generated approximately 92% of our 2021 total revenues.</w:t>
      </w:r>
    </w:p>
    <w:p>
      <w:pPr>
        <w:spacing w:after="0" w:line="225"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Our sources of revenue growth, in order of magnitude and excluding the impact from acquisitions, come from the recurrence of existing subscriptions revenues, additional revenue and growth from existing accounts using the same products, additional revenue and growth from existing accounts using new products, and growth from new accounts. For the year ended December 31, 2021, subscriptions represented 84% of our total revenues, and together with certain services revenues that are recurring in nature and represented 2% of our total revenues, bring the proportion of our recurring revenues to 86% of our total revenues. The remaining 14% of our revenues were generated from the sale of perpetual licenses and the delivery of non</w:t>
      </w:r>
      <w:r>
        <w:rPr>
          <w:rFonts w:ascii="MS PGothic" w:cs="MS PGothic" w:eastAsia="MS PGothic" w:hAnsi="MS PGothic"/>
          <w:sz w:val="17"/>
          <w:szCs w:val="17"/>
          <w:color w:val="auto"/>
        </w:rPr>
        <w:t>‑</w:t>
      </w:r>
      <w:r>
        <w:rPr>
          <w:rFonts w:ascii="Arial" w:cs="Arial" w:eastAsia="Arial" w:hAnsi="Arial"/>
          <w:sz w:val="17"/>
          <w:szCs w:val="17"/>
          <w:color w:val="auto"/>
        </w:rPr>
        <w:t>recurring services. We have a highly</w:t>
      </w:r>
      <w:r>
        <w:rPr>
          <w:rFonts w:ascii="MS PGothic" w:cs="MS PGothic" w:eastAsia="MS PGothic" w:hAnsi="MS PGothic"/>
          <w:sz w:val="17"/>
          <w:szCs w:val="17"/>
          <w:color w:val="auto"/>
        </w:rPr>
        <w:t>‑</w:t>
      </w:r>
      <w:r>
        <w:rPr>
          <w:rFonts w:ascii="Arial" w:cs="Arial" w:eastAsia="Arial" w:hAnsi="Arial"/>
          <w:sz w:val="17"/>
          <w:szCs w:val="17"/>
          <w:color w:val="auto"/>
        </w:rPr>
        <w:t>diversified account base, with our largest account representing no more than 2.5% of our total revenues in 2021. Our 2021 total revenues were also diversified by account type, size, and geography. Additionally, we believe that we have a loyal account base, with over 70% of our 2021 total revenues from organizations that have been our accounts for over ten years. Between 2002 and 2021, our total revenues had an approximately 8% compound annual growth rate.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Commercial Offerings:</w:t>
      </w:r>
    </w:p>
    <w:p>
      <w:pPr>
        <w:spacing w:after="0" w:line="229"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Our solutions are made available to our accounts in a broad range of commercial offerings designed to accommodate the diverse preferences of our accounts, which range from owned versus subscribed, short</w:t>
      </w:r>
      <w:r>
        <w:rPr>
          <w:rFonts w:ascii="MS PGothic" w:cs="MS PGothic" w:eastAsia="MS PGothic" w:hAnsi="MS PGothic"/>
          <w:sz w:val="18"/>
          <w:szCs w:val="18"/>
          <w:color w:val="auto"/>
        </w:rPr>
        <w:t>‑</w:t>
      </w:r>
      <w:r>
        <w:rPr>
          <w:rFonts w:ascii="Arial" w:cs="Arial" w:eastAsia="Arial" w:hAnsi="Arial"/>
          <w:sz w:val="18"/>
          <w:szCs w:val="18"/>
          <w:color w:val="auto"/>
        </w:rPr>
        <w:t>term subscriptions versus longer term annual subscriptions, and fee</w:t>
      </w:r>
      <w:r>
        <w:rPr>
          <w:rFonts w:ascii="MS PGothic" w:cs="MS PGothic" w:eastAsia="MS PGothic" w:hAnsi="MS PGothic"/>
          <w:sz w:val="18"/>
          <w:szCs w:val="18"/>
          <w:color w:val="auto"/>
        </w:rPr>
        <w:t>‑</w:t>
      </w:r>
      <w:r>
        <w:rPr>
          <w:rFonts w:ascii="Arial" w:cs="Arial" w:eastAsia="Arial" w:hAnsi="Arial"/>
          <w:sz w:val="18"/>
          <w:szCs w:val="18"/>
          <w:color w:val="auto"/>
        </w:rPr>
        <w:t>certain arrangements versus variable or consumption</w:t>
      </w:r>
      <w:r>
        <w:rPr>
          <w:rFonts w:ascii="MS PGothic" w:cs="MS PGothic" w:eastAsia="MS PGothic" w:hAnsi="MS PGothic"/>
          <w:sz w:val="18"/>
          <w:szCs w:val="18"/>
          <w:color w:val="auto"/>
        </w:rPr>
        <w:t>‑</w:t>
      </w:r>
      <w:r>
        <w:rPr>
          <w:rFonts w:ascii="Arial" w:cs="Arial" w:eastAsia="Arial" w:hAnsi="Arial"/>
          <w:sz w:val="18"/>
          <w:szCs w:val="18"/>
          <w:color w:val="auto"/>
        </w:rPr>
        <w:t>based arrangements with consumption measurement durations of less than one year. We contract our commercial offerings under a single form of standard contract, which includes liability and other risk protections in our favor, and appropriate standard addendums to the primary contract, which specifically address the commercial offerings provided. Our standard commercial offerings are summarized in the table below, with further descriptions following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137795</wp:posOffset>
            </wp:positionV>
            <wp:extent cx="5349240" cy="2434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349240"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SELECT Subscriptions. </w:t>
      </w:r>
      <w:r>
        <w:rPr>
          <w:rFonts w:ascii="Arial" w:cs="Arial" w:eastAsia="Arial" w:hAnsi="Arial"/>
          <w:sz w:val="17"/>
          <w:szCs w:val="17"/>
          <w:color w:val="auto"/>
        </w:rPr>
        <w:t>Our SELECT subscription is a prepaid annual recurring subscription that accompanies a new or previously purchased perpetual</w:t>
      </w:r>
      <w:r>
        <w:rPr>
          <w:rFonts w:ascii="Arial" w:cs="Arial" w:eastAsia="Arial" w:hAnsi="Arial"/>
          <w:sz w:val="17"/>
          <w:szCs w:val="17"/>
          <w:i w:val="1"/>
          <w:iCs w:val="1"/>
          <w:color w:val="auto"/>
        </w:rPr>
        <w:t xml:space="preserve"> </w:t>
      </w:r>
      <w:r>
        <w:rPr>
          <w:rFonts w:ascii="Arial" w:cs="Arial" w:eastAsia="Arial" w:hAnsi="Arial"/>
          <w:sz w:val="17"/>
          <w:szCs w:val="17"/>
          <w:color w:val="auto"/>
        </w:rPr>
        <w:t>license. We believe that the SELECT benefits summarized below support our favorable rates of account retention and growth:</w:t>
      </w:r>
    </w:p>
    <w:p>
      <w:pPr>
        <w:spacing w:after="0" w:line="146" w:lineRule="exact"/>
        <w:rPr>
          <w:sz w:val="20"/>
          <w:szCs w:val="20"/>
          <w:color w:val="auto"/>
        </w:rPr>
      </w:pPr>
    </w:p>
    <w:p>
      <w:pPr>
        <w:ind w:left="820" w:hanging="245"/>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Software upgrades;</w:t>
      </w:r>
    </w:p>
    <w:p>
      <w:pPr>
        <w:spacing w:after="0" w:line="225" w:lineRule="exact"/>
        <w:rPr>
          <w:rFonts w:ascii="Arial" w:cs="Arial" w:eastAsia="Arial" w:hAnsi="Arial"/>
          <w:sz w:val="18"/>
          <w:szCs w:val="18"/>
          <w:color w:val="auto"/>
        </w:rPr>
      </w:pPr>
    </w:p>
    <w:p>
      <w:pPr>
        <w:ind w:left="820" w:hanging="245"/>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Comprehensive technical support;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2" w:name="page43"/>
    <w:bookmarkEnd w:id="42"/>
    <w:p>
      <w:pPr>
        <w:ind w:left="820" w:hanging="245"/>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License pooling providing accounts with efficiency advantages;</w:t>
      </w:r>
    </w:p>
    <w:p>
      <w:pPr>
        <w:spacing w:after="0" w:line="225" w:lineRule="exact"/>
        <w:rPr>
          <w:rFonts w:ascii="Arial" w:cs="Arial" w:eastAsia="Arial" w:hAnsi="Arial"/>
          <w:sz w:val="18"/>
          <w:szCs w:val="18"/>
          <w:color w:val="auto"/>
        </w:rPr>
      </w:pPr>
    </w:p>
    <w:p>
      <w:pPr>
        <w:ind w:left="820" w:hanging="245"/>
        <w:spacing w:after="0"/>
        <w:tabs>
          <w:tab w:leader="none" w:pos="8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Portfolio balancing providing accounts the opportunity to exchange unused or under used licenses with other of our license offerings;</w:t>
      </w:r>
    </w:p>
    <w:p>
      <w:pPr>
        <w:spacing w:after="0" w:line="236" w:lineRule="exact"/>
        <w:rPr>
          <w:rFonts w:ascii="Arial" w:cs="Arial" w:eastAsia="Arial" w:hAnsi="Arial"/>
          <w:sz w:val="17"/>
          <w:szCs w:val="17"/>
          <w:color w:val="auto"/>
        </w:rPr>
      </w:pPr>
    </w:p>
    <w:p>
      <w:pPr>
        <w:ind w:left="820" w:hanging="245"/>
        <w:spacing w:after="0" w:line="207" w:lineRule="exact"/>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Learning benefits, Azure</w:t>
      </w:r>
      <w:r>
        <w:rPr>
          <w:rFonts w:ascii="MS PGothic" w:cs="MS PGothic" w:eastAsia="MS PGothic" w:hAnsi="MS PGothic"/>
          <w:sz w:val="18"/>
          <w:szCs w:val="18"/>
          <w:color w:val="auto"/>
        </w:rPr>
        <w:t>‑</w:t>
      </w:r>
      <w:r>
        <w:rPr>
          <w:rFonts w:ascii="Arial" w:cs="Arial" w:eastAsia="Arial" w:hAnsi="Arial"/>
          <w:sz w:val="18"/>
          <w:szCs w:val="18"/>
          <w:color w:val="auto"/>
        </w:rPr>
        <w:t>based cloud collaboration services, and mobility advantages; and</w:t>
      </w:r>
    </w:p>
    <w:p>
      <w:pPr>
        <w:spacing w:after="0" w:line="225" w:lineRule="exact"/>
        <w:rPr>
          <w:rFonts w:ascii="Arial" w:cs="Arial" w:eastAsia="Arial" w:hAnsi="Arial"/>
          <w:sz w:val="18"/>
          <w:szCs w:val="18"/>
          <w:color w:val="auto"/>
        </w:rPr>
      </w:pPr>
    </w:p>
    <w:p>
      <w:pPr>
        <w:ind w:left="820" w:hanging="245"/>
        <w:spacing w:after="0" w:line="277" w:lineRule="auto"/>
        <w:tabs>
          <w:tab w:leader="none" w:pos="8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Access to our entire application portfolio with usage of licenses not previously purchased monetized quarterly in arrears based on consumption. See the section titled “</w:t>
      </w:r>
      <w:r>
        <w:rPr>
          <w:rFonts w:ascii="Arial" w:cs="Arial" w:eastAsia="Arial" w:hAnsi="Arial"/>
          <w:sz w:val="18"/>
          <w:szCs w:val="18"/>
          <w:b w:val="1"/>
          <w:bCs w:val="1"/>
          <w:i w:val="1"/>
          <w:iCs w:val="1"/>
          <w:color w:val="auto"/>
        </w:rPr>
        <w:t>—</w:t>
      </w:r>
      <w:r>
        <w:rPr>
          <w:rFonts w:ascii="Arial" w:cs="Arial" w:eastAsia="Arial" w:hAnsi="Arial"/>
          <w:sz w:val="18"/>
          <w:szCs w:val="18"/>
          <w:color w:val="auto"/>
        </w:rPr>
        <w:t>Term License Subscriptions” below.</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Enterprise Subscriptions. </w:t>
      </w:r>
      <w:r>
        <w:rPr>
          <w:rFonts w:ascii="Arial" w:cs="Arial" w:eastAsia="Arial" w:hAnsi="Arial"/>
          <w:sz w:val="18"/>
          <w:szCs w:val="18"/>
          <w:color w:val="auto"/>
        </w:rPr>
        <w:t>Our Enterprise subscription offerings provide our largest accounts with complete and unlimited global access to our</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portfolio of solutions.</w:t>
      </w:r>
    </w:p>
    <w:p>
      <w:pPr>
        <w:spacing w:after="0" w:line="170" w:lineRule="exact"/>
        <w:rPr>
          <w:sz w:val="20"/>
          <w:szCs w:val="20"/>
          <w:color w:val="auto"/>
        </w:rPr>
      </w:pPr>
    </w:p>
    <w:p>
      <w:pPr>
        <w:jc w:val="both"/>
        <w:ind w:left="820" w:hanging="245"/>
        <w:spacing w:after="0" w:line="220" w:lineRule="exact"/>
        <w:tabs>
          <w:tab w:leader="none" w:pos="81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Enterprise License Subscriptions (“ELS”). </w:t>
      </w:r>
      <w:r>
        <w:rPr>
          <w:rFonts w:ascii="Arial" w:cs="Arial" w:eastAsia="Arial" w:hAnsi="Arial"/>
          <w:sz w:val="18"/>
          <w:szCs w:val="18"/>
          <w:color w:val="auto"/>
        </w:rPr>
        <w:t>Our ELS offering provides access to our comprehensive portfolio of solutions for a fixed annual fee.</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 annual renewals are based on the account’s usage of software in the preceding year, effectively resulting in an annual consumption</w:t>
      </w:r>
      <w:r>
        <w:rPr>
          <w:rFonts w:ascii="MS PGothic" w:cs="MS PGothic" w:eastAsia="MS PGothic" w:hAnsi="MS PGothic"/>
          <w:sz w:val="18"/>
          <w:szCs w:val="18"/>
          <w:color w:val="auto"/>
        </w:rPr>
        <w:t>‑</w:t>
      </w:r>
      <w:r>
        <w:rPr>
          <w:rFonts w:ascii="Arial" w:cs="Arial" w:eastAsia="Arial" w:hAnsi="Arial"/>
          <w:sz w:val="18"/>
          <w:szCs w:val="18"/>
          <w:color w:val="auto"/>
        </w:rPr>
        <w:t>based arrangement. The majority of our ELS subscribers were historically SELECT subscribers that have grown into a position to take full advantage of our ELS offering.</w:t>
      </w:r>
    </w:p>
    <w:p>
      <w:pPr>
        <w:spacing w:after="0" w:line="203" w:lineRule="exact"/>
        <w:rPr>
          <w:rFonts w:ascii="Arial" w:cs="Arial" w:eastAsia="Arial" w:hAnsi="Arial"/>
          <w:sz w:val="18"/>
          <w:szCs w:val="18"/>
          <w:color w:val="auto"/>
        </w:rPr>
      </w:pPr>
    </w:p>
    <w:p>
      <w:pPr>
        <w:jc w:val="both"/>
        <w:ind w:left="820" w:hanging="245"/>
        <w:spacing w:after="0" w:line="270" w:lineRule="auto"/>
        <w:tabs>
          <w:tab w:leader="none" w:pos="815"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 xml:space="preserve">Enterprise 365 (“E365”) Subscriptions. </w:t>
      </w:r>
      <w:r>
        <w:rPr>
          <w:rFonts w:ascii="Arial" w:cs="Arial" w:eastAsia="Arial" w:hAnsi="Arial"/>
          <w:sz w:val="17"/>
          <w:szCs w:val="17"/>
          <w:color w:val="auto"/>
        </w:rPr>
        <w:t>Under our E365 subscription, participating accounts have unrestricted access to our comprehensive</w:t>
      </w:r>
      <w:r>
        <w:rPr>
          <w:rFonts w:ascii="Arial" w:cs="Arial" w:eastAsia="Arial" w:hAnsi="Arial"/>
          <w:sz w:val="17"/>
          <w:szCs w:val="17"/>
          <w:i w:val="1"/>
          <w:iCs w:val="1"/>
          <w:color w:val="auto"/>
        </w:rPr>
        <w:t xml:space="preserve"> </w:t>
      </w:r>
      <w:r>
        <w:rPr>
          <w:rFonts w:ascii="Arial" w:cs="Arial" w:eastAsia="Arial" w:hAnsi="Arial"/>
          <w:sz w:val="17"/>
          <w:szCs w:val="17"/>
          <w:color w:val="auto"/>
        </w:rPr>
        <w:t>software portfolio, similar to ELS, however they are charged based upon daily usage. E365 subscriptions can contain quarterly usage floors or collars as accounts transition to the usage model or for accounts within the public sector. The daily usage fee also includes a term license component, SELECT maintenance and support, hosting, and Success Blueprints, which are designed to achieve business outcomes through more efficient and effective use of our software. The E365 subscription offering was introduced during the fourth quarter of 2018. We are prioritizing efforts to transition ELS subscribers to E365 subscriptions, primarily to simplify pricing, more closely align consumption to monetization, and to establish Success Blueprints as recurring to ensure better business outcomes for our users. To the extent we succeed in transitioning subscribers to E365, we recognize a greater proportion of our revenues on a quarterly basis rather than substantially upfront. See the section titled “</w:t>
      </w:r>
      <w:r>
        <w:rPr>
          <w:rFonts w:ascii="Arial" w:cs="Arial" w:eastAsia="Arial" w:hAnsi="Arial"/>
          <w:sz w:val="17"/>
          <w:szCs w:val="17"/>
          <w:b w:val="1"/>
          <w:bCs w:val="1"/>
          <w:i w:val="1"/>
          <w:iCs w:val="1"/>
          <w:color w:val="auto"/>
        </w:rPr>
        <w:t>—</w:t>
      </w:r>
      <w:r>
        <w:rPr>
          <w:rFonts w:ascii="Arial" w:cs="Arial" w:eastAsia="Arial" w:hAnsi="Arial"/>
          <w:sz w:val="17"/>
          <w:szCs w:val="17"/>
          <w:color w:val="auto"/>
        </w:rPr>
        <w:t>Key Factors Impacting Comparability and Performance.”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License Subscriptions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Annual Term Licenses (“ATL”) Subscription. </w:t>
      </w:r>
      <w:r>
        <w:rPr>
          <w:rFonts w:ascii="Arial" w:cs="Arial" w:eastAsia="Arial" w:hAnsi="Arial"/>
          <w:sz w:val="18"/>
          <w:szCs w:val="18"/>
          <w:color w:val="auto"/>
        </w:rPr>
        <w:t>Annual term licenses are generally prepaid annually for named user access to specific products and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our Virtuoso subscriptions sold via our Virtuosity eStore for practitioner licenses. Virtuoso subscriptions are bundles with customizable training and expert consultation administered through “keys” or credits. ATL are also used to monetize site or enterprise wide access for certain of our </w:t>
      </w:r>
      <w:r>
        <w:rPr>
          <w:rFonts w:ascii="Arial" w:cs="Arial" w:eastAsia="Arial" w:hAnsi="Arial"/>
          <w:sz w:val="18"/>
          <w:szCs w:val="18"/>
          <w:i w:val="1"/>
          <w:iCs w:val="1"/>
          <w:color w:val="auto"/>
        </w:rPr>
        <w:t>AssetWise</w:t>
      </w:r>
      <w:r>
        <w:rPr>
          <w:rFonts w:ascii="Arial" w:cs="Arial" w:eastAsia="Arial" w:hAnsi="Arial"/>
          <w:sz w:val="18"/>
          <w:szCs w:val="18"/>
          <w:color w:val="auto"/>
        </w:rPr>
        <w:t xml:space="preserve"> solutions within given usage bands.</w:t>
      </w:r>
    </w:p>
    <w:p>
      <w:pPr>
        <w:spacing w:after="0" w:line="187"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i w:val="1"/>
          <w:iCs w:val="1"/>
          <w:color w:val="auto"/>
        </w:rPr>
        <w:t xml:space="preserve">Quarterly Term License (“QTL”) Subscription. </w:t>
      </w:r>
      <w:r>
        <w:rPr>
          <w:rFonts w:ascii="Arial" w:cs="Arial" w:eastAsia="Arial" w:hAnsi="Arial"/>
          <w:sz w:val="18"/>
          <w:szCs w:val="18"/>
          <w:color w:val="auto"/>
        </w:rPr>
        <w:t>Through quarterly term licenses, accounts pay quarterly in arrears for licenses they have used representing</w:t>
      </w:r>
      <w:r>
        <w:rPr>
          <w:rFonts w:ascii="Arial" w:cs="Arial" w:eastAsia="Arial" w:hAnsi="Arial"/>
          <w:sz w:val="18"/>
          <w:szCs w:val="18"/>
          <w:i w:val="1"/>
          <w:iCs w:val="1"/>
          <w:color w:val="auto"/>
        </w:rPr>
        <w:t xml:space="preserve"> </w:t>
      </w:r>
      <w:r>
        <w:rPr>
          <w:rFonts w:ascii="Arial" w:cs="Arial" w:eastAsia="Arial" w:hAnsi="Arial"/>
          <w:sz w:val="18"/>
          <w:szCs w:val="18"/>
          <w:color w:val="auto"/>
        </w:rPr>
        <w:t>usage beyond their contracted quantities. Much like our Enterprise subscription programs, a QTL allows smaller- and medium</w:t>
      </w:r>
      <w:r>
        <w:rPr>
          <w:rFonts w:ascii="MS PGothic" w:cs="MS PGothic" w:eastAsia="MS PGothic" w:hAnsi="MS PGothic"/>
          <w:sz w:val="18"/>
          <w:szCs w:val="18"/>
          <w:color w:val="auto"/>
        </w:rPr>
        <w:t>‑</w:t>
      </w:r>
      <w:r>
        <w:rPr>
          <w:rFonts w:ascii="Arial" w:cs="Arial" w:eastAsia="Arial" w:hAnsi="Arial"/>
          <w:sz w:val="18"/>
          <w:szCs w:val="18"/>
          <w:color w:val="auto"/>
        </w:rPr>
        <w:t>sized accounts to match usage to ongoing project requirements.</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Monthly Term License (“MTL”) Subscription. </w:t>
      </w:r>
      <w:r>
        <w:rPr>
          <w:rFonts w:ascii="Arial" w:cs="Arial" w:eastAsia="Arial" w:hAnsi="Arial"/>
          <w:sz w:val="18"/>
          <w:szCs w:val="18"/>
          <w:color w:val="auto"/>
        </w:rPr>
        <w:t>Monthly term licenses are identical to QTL subscriptions, except for the term of the license, and the manner</w:t>
      </w:r>
      <w:r>
        <w:rPr>
          <w:rFonts w:ascii="Arial" w:cs="Arial" w:eastAsia="Arial" w:hAnsi="Arial"/>
          <w:sz w:val="18"/>
          <w:szCs w:val="18"/>
          <w:i w:val="1"/>
          <w:iCs w:val="1"/>
          <w:color w:val="auto"/>
        </w:rPr>
        <w:t xml:space="preserve"> </w:t>
      </w:r>
      <w:r>
        <w:rPr>
          <w:rFonts w:ascii="Arial" w:cs="Arial" w:eastAsia="Arial" w:hAnsi="Arial"/>
          <w:sz w:val="18"/>
          <w:szCs w:val="18"/>
          <w:color w:val="auto"/>
        </w:rPr>
        <w:t>in which they are monetized. MTL subscriptions require a Cloud Services Subscription, which is discussed below.</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Visas and Passports. </w:t>
      </w:r>
      <w:r>
        <w:rPr>
          <w:rFonts w:ascii="Arial" w:cs="Arial" w:eastAsia="Arial" w:hAnsi="Arial"/>
          <w:sz w:val="18"/>
          <w:szCs w:val="18"/>
          <w:color w:val="auto"/>
        </w:rPr>
        <w:t>Visas and Passports are quarterly or annual term licenses enabling users to access specific project or enterprise information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entitles our users to certain functionality of our </w:t>
      </w:r>
      <w:r>
        <w:rPr>
          <w:rFonts w:ascii="Arial" w:cs="Arial" w:eastAsia="Arial" w:hAnsi="Arial"/>
          <w:sz w:val="18"/>
          <w:szCs w:val="18"/>
          <w:i w:val="1"/>
          <w:iCs w:val="1"/>
          <w:color w:val="auto"/>
        </w:rPr>
        <w:t>ProjectWise</w:t>
      </w:r>
      <w:r>
        <w:rPr>
          <w:rFonts w:ascii="Arial" w:cs="Arial" w:eastAsia="Arial" w:hAnsi="Arial"/>
          <w:sz w:val="18"/>
          <w:szCs w:val="18"/>
          <w:color w:val="auto"/>
        </w:rPr>
        <w:t xml:space="preserve"> and </w:t>
      </w:r>
      <w:r>
        <w:rPr>
          <w:rFonts w:ascii="Arial" w:cs="Arial" w:eastAsia="Arial" w:hAnsi="Arial"/>
          <w:sz w:val="18"/>
          <w:szCs w:val="18"/>
          <w:i w:val="1"/>
          <w:iCs w:val="1"/>
          <w:color w:val="auto"/>
        </w:rPr>
        <w:t>AssetWise</w:t>
      </w:r>
      <w:r>
        <w:rPr>
          <w:rFonts w:ascii="Arial" w:cs="Arial" w:eastAsia="Arial" w:hAnsi="Arial"/>
          <w:sz w:val="18"/>
          <w:szCs w:val="18"/>
          <w:color w:val="auto"/>
        </w:rPr>
        <w:t xml:space="preserve"> systems. Generally, a Passport provides desktop, web, and mobile application access to project information and certain functions, and a Visa provides similar access, plus added functionality depending upon the product to which the Visa is aligned.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3" w:name="page44"/>
    <w:bookmarkEnd w:id="43"/>
    <w:p>
      <w:pPr>
        <w:jc w:val="both"/>
        <w:ind w:right="20"/>
        <w:spacing w:after="0" w:line="277" w:lineRule="auto"/>
        <w:rPr>
          <w:sz w:val="20"/>
          <w:szCs w:val="20"/>
          <w:color w:val="auto"/>
        </w:rPr>
      </w:pPr>
      <w:r>
        <w:rPr>
          <w:rFonts w:ascii="Arial" w:cs="Arial" w:eastAsia="Arial" w:hAnsi="Arial"/>
          <w:sz w:val="18"/>
          <w:szCs w:val="18"/>
          <w:color w:val="auto"/>
        </w:rPr>
        <w:t>While certain legacy arrangements are supported, our standard offering requires Visas and Passports to be fulfilled and contracted via a CSS, which is discussed below.</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Cloud Services Subscription (“CSS”)</w:t>
      </w:r>
      <w:r>
        <w:rPr>
          <w:rFonts w:ascii="Arial" w:cs="Arial" w:eastAsia="Arial" w:hAnsi="Arial"/>
          <w:sz w:val="18"/>
          <w:szCs w:val="18"/>
          <w:color w:val="auto"/>
        </w:rPr>
        <w:t>. CSS is designed to streamline the procurement, administration, and payment process for us and our accounts. A CSS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an upfront annual estimation of MTL, Visa and Passport consumption, and any Success Services expected for the upcoming year. A deposit for the annual estimated consumption is submitted in advance. Actual consumption is monitored and invoiced against the deposit on a calendar quarter basis. Accounts are charged only for what gets used and deposited amounts never expire.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Perpetual Licenses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historically have sold perpetual licenses and continue to offer them to our accounts as an available option for most of our applications. Perpetual licenses are available for accounts that prefer to own their software licenses and may be sold with or without attaching a SELECT subscription. Historically, attachment and retention of the SELECT subscription has been high given the benefits of the SELECT subscription.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225" w:lineRule="exact"/>
        <w:rPr>
          <w:sz w:val="20"/>
          <w:szCs w:val="20"/>
          <w:color w:val="auto"/>
        </w:rPr>
      </w:pPr>
    </w:p>
    <w:p>
      <w:pPr>
        <w:jc w:val="both"/>
        <w:spacing w:after="0" w:line="220" w:lineRule="exact"/>
        <w:rPr>
          <w:sz w:val="20"/>
          <w:szCs w:val="20"/>
          <w:color w:val="auto"/>
        </w:rPr>
      </w:pPr>
      <w:r>
        <w:rPr>
          <w:rFonts w:ascii="Arial" w:cs="Arial" w:eastAsia="Arial" w:hAnsi="Arial"/>
          <w:sz w:val="16"/>
          <w:szCs w:val="16"/>
          <w:color w:val="auto"/>
        </w:rPr>
        <w:t>We provide professional services, including training, implementation, configuration, customization, and strategic consulting services. We perform projects on both a time and materials and a fixed fee basis. Certain of our fixed</w:t>
      </w:r>
      <w:r>
        <w:rPr>
          <w:rFonts w:ascii="MS PGothic" w:cs="MS PGothic" w:eastAsia="MS PGothic" w:hAnsi="MS PGothic"/>
          <w:sz w:val="16"/>
          <w:szCs w:val="16"/>
          <w:color w:val="auto"/>
        </w:rPr>
        <w:t>‑</w:t>
      </w:r>
      <w:r>
        <w:rPr>
          <w:rFonts w:ascii="Arial" w:cs="Arial" w:eastAsia="Arial" w:hAnsi="Arial"/>
          <w:sz w:val="16"/>
          <w:szCs w:val="16"/>
          <w:color w:val="auto"/>
        </w:rPr>
        <w:t>fee arrangements, including our Success Services offerings, are structured as subscription</w:t>
      </w:r>
      <w:r>
        <w:rPr>
          <w:rFonts w:ascii="MS PGothic" w:cs="MS PGothic" w:eastAsia="MS PGothic" w:hAnsi="MS PGothic"/>
          <w:sz w:val="16"/>
          <w:szCs w:val="16"/>
          <w:color w:val="auto"/>
        </w:rPr>
        <w:t>‑</w:t>
      </w:r>
      <w:r>
        <w:rPr>
          <w:rFonts w:ascii="Arial" w:cs="Arial" w:eastAsia="Arial" w:hAnsi="Arial"/>
          <w:sz w:val="16"/>
          <w:szCs w:val="16"/>
          <w:color w:val="auto"/>
        </w:rPr>
        <w:t>like, packaged offerings that are annually recurring in nature. Success Services are standard service offerings that provide a level of dedicated professional services above the standard technical support offered to all accounts as part of their SELECT or Enterprise agreement.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regularly review the following key metrics to evaluate our business, measure our performance, identify trends in our business, prepare financial projections, and make strategic decisions.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40" w:type="dxa"/>
            <w:vAlign w:val="bottom"/>
            <w:gridSpan w:val="3"/>
          </w:tcPr>
          <w:p>
            <w:pPr>
              <w:jc w:val="center"/>
              <w:ind w:left="494"/>
              <w:spacing w:after="0"/>
              <w:rPr>
                <w:sz w:val="20"/>
                <w:szCs w:val="20"/>
                <w:color w:val="auto"/>
              </w:rPr>
            </w:pPr>
            <w:r>
              <w:rPr>
                <w:rFonts w:ascii="Arial" w:cs="Arial" w:eastAsia="Arial" w:hAnsi="Arial"/>
                <w:sz w:val="16"/>
                <w:szCs w:val="16"/>
                <w:b w:val="1"/>
                <w:bCs w:val="1"/>
                <w:color w:val="auto"/>
                <w:w w:val="92"/>
              </w:rPr>
              <w:t>Twelve Months Ended</w:t>
            </w:r>
          </w:p>
        </w:tc>
        <w:tc>
          <w:tcPr>
            <w:tcW w:w="980" w:type="dxa"/>
            <w:vAlign w:val="bottom"/>
          </w:tcPr>
          <w:p>
            <w:pPr>
              <w:spacing w:after="0"/>
              <w:rPr>
                <w:sz w:val="18"/>
                <w:szCs w:val="18"/>
                <w:color w:val="auto"/>
              </w:rPr>
            </w:pPr>
          </w:p>
        </w:tc>
      </w:tr>
      <w:tr>
        <w:trPr>
          <w:trHeight w:val="219"/>
        </w:trPr>
        <w:tc>
          <w:tcPr>
            <w:tcW w:w="77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3"/>
          </w:tcPr>
          <w:p>
            <w:pPr>
              <w:jc w:val="center"/>
              <w:ind w:left="494"/>
              <w:spacing w:after="0"/>
              <w:rPr>
                <w:sz w:val="20"/>
                <w:szCs w:val="20"/>
                <w:color w:val="auto"/>
              </w:rPr>
            </w:pPr>
            <w:r>
              <w:rPr>
                <w:rFonts w:ascii="Arial" w:cs="Arial" w:eastAsia="Arial" w:hAnsi="Arial"/>
                <w:sz w:val="16"/>
                <w:szCs w:val="16"/>
                <w:b w:val="1"/>
                <w:bCs w:val="1"/>
                <w:color w:val="auto"/>
                <w:w w:val="97"/>
              </w:rPr>
              <w:t>March 31,</w:t>
            </w:r>
          </w:p>
        </w:tc>
        <w:tc>
          <w:tcPr>
            <w:tcW w:w="980" w:type="dxa"/>
            <w:vAlign w:val="bottom"/>
            <w:tcBorders>
              <w:bottom w:val="single" w:sz="8" w:color="auto"/>
            </w:tcBorders>
          </w:tcPr>
          <w:p>
            <w:pPr>
              <w:spacing w:after="0"/>
              <w:rPr>
                <w:sz w:val="19"/>
                <w:szCs w:val="19"/>
                <w:color w:val="auto"/>
              </w:rPr>
            </w:pPr>
          </w:p>
        </w:tc>
      </w:tr>
      <w:tr>
        <w:trPr>
          <w:trHeight w:val="210"/>
        </w:trPr>
        <w:tc>
          <w:tcPr>
            <w:tcW w:w="77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4"/>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w w:val="95"/>
              </w:rPr>
              <w:t>2021</w:t>
            </w:r>
          </w:p>
        </w:tc>
      </w:tr>
      <w:tr>
        <w:trPr>
          <w:trHeight w:val="25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Last twelve-months recurring revenues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885,882</w:t>
            </w: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716,902</w:t>
            </w: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Constant Currency:</w:t>
            </w: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0"/>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Annualized recurring revenues (“ARR”) growth rate</w:t>
            </w: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2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70"/>
        </w:trPr>
        <w:tc>
          <w:tcPr>
            <w:tcW w:w="7720" w:type="dxa"/>
            <w:vAlign w:val="bottom"/>
          </w:tcPr>
          <w:p>
            <w:pPr>
              <w:ind w:left="180"/>
              <w:spacing w:after="0"/>
              <w:rPr>
                <w:sz w:val="20"/>
                <w:szCs w:val="20"/>
                <w:color w:val="auto"/>
              </w:rPr>
            </w:pPr>
            <w:r>
              <w:rPr>
                <w:rFonts w:ascii="Arial" w:cs="Arial" w:eastAsia="Arial" w:hAnsi="Arial"/>
                <w:sz w:val="18"/>
                <w:szCs w:val="18"/>
                <w:color w:val="auto"/>
              </w:rPr>
              <w:t>Account retention rate</w:t>
            </w: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98 %</w:t>
            </w: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98 %</w:t>
            </w:r>
          </w:p>
        </w:tc>
      </w:tr>
      <w:tr>
        <w:trPr>
          <w:trHeight w:val="270"/>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Recurring revenues dollar-based net retention rate</w:t>
            </w: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108 %</w:t>
            </w:r>
          </w:p>
        </w:tc>
        <w:tc>
          <w:tcPr>
            <w:tcW w:w="2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107 %</w:t>
            </w:r>
          </w:p>
        </w:tc>
      </w:tr>
    </w:tbl>
    <w:p>
      <w:pPr>
        <w:spacing w:after="0" w:line="296" w:lineRule="exact"/>
        <w:rPr>
          <w:sz w:val="20"/>
          <w:szCs w:val="20"/>
          <w:color w:val="auto"/>
        </w:rPr>
      </w:pPr>
    </w:p>
    <w:p>
      <w:pPr>
        <w:jc w:val="both"/>
        <w:spacing w:after="0" w:line="221" w:lineRule="exact"/>
        <w:rPr>
          <w:sz w:val="20"/>
          <w:szCs w:val="20"/>
          <w:color w:val="auto"/>
        </w:rPr>
      </w:pPr>
      <w:r>
        <w:rPr>
          <w:rFonts w:ascii="Arial" w:cs="Arial" w:eastAsia="Arial" w:hAnsi="Arial"/>
          <w:sz w:val="17"/>
          <w:szCs w:val="17"/>
          <w:b w:val="1"/>
          <w:bCs w:val="1"/>
          <w:i w:val="1"/>
          <w:iCs w:val="1"/>
          <w:color w:val="auto"/>
        </w:rPr>
        <w:t>Last twelve</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 xml:space="preserve">months recurring revenues. </w:t>
      </w:r>
      <w:r>
        <w:rPr>
          <w:rFonts w:ascii="Arial" w:cs="Arial" w:eastAsia="Arial" w:hAnsi="Arial"/>
          <w:sz w:val="17"/>
          <w:szCs w:val="17"/>
          <w:color w:val="auto"/>
        </w:rPr>
        <w:t>Last twelve</w:t>
      </w:r>
      <w:r>
        <w:rPr>
          <w:rFonts w:ascii="MS PGothic" w:cs="MS PGothic" w:eastAsia="MS PGothic" w:hAnsi="MS PGothic"/>
          <w:sz w:val="17"/>
          <w:szCs w:val="17"/>
          <w:color w:val="auto"/>
        </w:rPr>
        <w:t>‑</w:t>
      </w:r>
      <w:r>
        <w:rPr>
          <w:rFonts w:ascii="Arial" w:cs="Arial" w:eastAsia="Arial" w:hAnsi="Arial"/>
          <w:sz w:val="17"/>
          <w:szCs w:val="17"/>
          <w:color w:val="auto"/>
        </w:rPr>
        <w:t>months recurring revenues is calculated as recurring revenues recognized over the preceding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twelve</w:t>
      </w:r>
      <w:r>
        <w:rPr>
          <w:rFonts w:ascii="MS PGothic" w:cs="MS PGothic" w:eastAsia="MS PGothic" w:hAnsi="MS PGothic"/>
          <w:sz w:val="17"/>
          <w:szCs w:val="17"/>
          <w:color w:val="auto"/>
        </w:rPr>
        <w:t>‑</w:t>
      </w:r>
      <w:r>
        <w:rPr>
          <w:rFonts w:ascii="Arial" w:cs="Arial" w:eastAsia="Arial" w:hAnsi="Arial"/>
          <w:sz w:val="17"/>
          <w:szCs w:val="17"/>
          <w:color w:val="auto"/>
        </w:rPr>
        <w:t>month period. We define recurring revenues as subscriptions revenues that recur monthly, quarterly, or annually with specific or automatic renewal clauses and services revenues in which the underlying contract is based on a fixed fee and contains automatic annual renewal provisions.</w:t>
      </w:r>
    </w:p>
    <w:p>
      <w:pPr>
        <w:spacing w:after="0" w:line="202"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We believe that last twelve</w:t>
      </w:r>
      <w:r>
        <w:rPr>
          <w:rFonts w:ascii="MS PGothic" w:cs="MS PGothic" w:eastAsia="MS PGothic" w:hAnsi="MS PGothic"/>
          <w:sz w:val="16"/>
          <w:szCs w:val="16"/>
          <w:color w:val="auto"/>
        </w:rPr>
        <w:t>‑</w:t>
      </w:r>
      <w:r>
        <w:rPr>
          <w:rFonts w:ascii="Arial" w:cs="Arial" w:eastAsia="Arial" w:hAnsi="Arial"/>
          <w:sz w:val="16"/>
          <w:szCs w:val="16"/>
          <w:color w:val="auto"/>
        </w:rPr>
        <w:t>months recurring revenues is an important indicator of our performance during the immediately preceding twelve</w:t>
      </w:r>
      <w:r>
        <w:rPr>
          <w:rFonts w:ascii="MS PGothic" w:cs="MS PGothic" w:eastAsia="MS PGothic" w:hAnsi="MS PGothic"/>
          <w:sz w:val="16"/>
          <w:szCs w:val="16"/>
          <w:color w:val="auto"/>
        </w:rPr>
        <w:t>‑</w:t>
      </w:r>
      <w:r>
        <w:rPr>
          <w:rFonts w:ascii="Arial" w:cs="Arial" w:eastAsia="Arial" w:hAnsi="Arial"/>
          <w:sz w:val="16"/>
          <w:szCs w:val="16"/>
          <w:color w:val="auto"/>
        </w:rPr>
        <w:t>month time period. We believe that we will continue to experience favorable growth in recurring revenues primarily due to our strong account retention and recurring revenues dollar</w:t>
      </w:r>
      <w:r>
        <w:rPr>
          <w:rFonts w:ascii="MS PGothic" w:cs="MS PGothic" w:eastAsia="MS PGothic" w:hAnsi="MS PGothic"/>
          <w:sz w:val="16"/>
          <w:szCs w:val="16"/>
          <w:color w:val="auto"/>
        </w:rPr>
        <w:t>‑</w:t>
      </w:r>
      <w:r>
        <w:rPr>
          <w:rFonts w:ascii="Arial" w:cs="Arial" w:eastAsia="Arial" w:hAnsi="Arial"/>
          <w:sz w:val="16"/>
          <w:szCs w:val="16"/>
          <w:color w:val="auto"/>
        </w:rPr>
        <w:t>based net retention rates, as well as the addition of new accounts with recurring revenues. The last twelve</w:t>
      </w:r>
      <w:r>
        <w:rPr>
          <w:rFonts w:ascii="MS PGothic" w:cs="MS PGothic" w:eastAsia="MS PGothic" w:hAnsi="MS PGothic"/>
          <w:sz w:val="16"/>
          <w:szCs w:val="16"/>
          <w:color w:val="auto"/>
        </w:rPr>
        <w:t>‑</w:t>
      </w:r>
      <w:r>
        <w:rPr>
          <w:rFonts w:ascii="Arial" w:cs="Arial" w:eastAsia="Arial" w:hAnsi="Arial"/>
          <w:sz w:val="16"/>
          <w:szCs w:val="16"/>
          <w:color w:val="auto"/>
        </w:rPr>
        <w:t>months recurring revenues for the periods ended March 31, 2022 compared to the last twelve</w:t>
      </w:r>
      <w:r>
        <w:rPr>
          <w:rFonts w:ascii="MS PGothic" w:cs="MS PGothic" w:eastAsia="MS PGothic" w:hAnsi="MS PGothic"/>
          <w:sz w:val="16"/>
          <w:szCs w:val="16"/>
          <w:color w:val="auto"/>
        </w:rPr>
        <w:t>‑</w:t>
      </w:r>
      <w:r>
        <w:rPr>
          <w:rFonts w:ascii="Arial" w:cs="Arial" w:eastAsia="Arial" w:hAnsi="Arial"/>
          <w:sz w:val="16"/>
          <w:szCs w:val="16"/>
          <w:color w:val="auto"/>
        </w:rPr>
        <w:t>months of the preceding twelve</w:t>
      </w:r>
      <w:r>
        <w:rPr>
          <w:rFonts w:ascii="MS PGothic" w:cs="MS PGothic" w:eastAsia="MS PGothic" w:hAnsi="MS PGothic"/>
          <w:sz w:val="16"/>
          <w:szCs w:val="16"/>
          <w:color w:val="auto"/>
        </w:rPr>
        <w:t>‑</w:t>
      </w:r>
      <w:r>
        <w:rPr>
          <w:rFonts w:ascii="Arial" w:cs="Arial" w:eastAsia="Arial" w:hAnsi="Arial"/>
          <w:sz w:val="16"/>
          <w:szCs w:val="16"/>
          <w:color w:val="auto"/>
        </w:rPr>
        <w:t>month period increased by $168,980. This increase was primarily due to growth in ARR, which is primarily the result of growing our recurring revenues within our existing accounts as expressed in our recurring revenues dollar</w:t>
      </w:r>
      <w:r>
        <w:rPr>
          <w:rFonts w:ascii="MS PGothic" w:cs="MS PGothic" w:eastAsia="MS PGothic" w:hAnsi="MS PGothic"/>
          <w:sz w:val="16"/>
          <w:szCs w:val="16"/>
          <w:color w:val="auto"/>
        </w:rPr>
        <w:t>‑</w:t>
      </w:r>
      <w:r>
        <w:rPr>
          <w:rFonts w:ascii="Arial" w:cs="Arial" w:eastAsia="Arial" w:hAnsi="Arial"/>
          <w:sz w:val="16"/>
          <w:szCs w:val="16"/>
          <w:color w:val="auto"/>
        </w:rPr>
        <w:t>based net retention rate, as well as additional recurring revenues resulting from new accounts and acquisitions. For the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ended March 31, 2022, 87% of our revenues were recurring revenues.</w:t>
      </w:r>
    </w:p>
    <w:p>
      <w:pPr>
        <w:spacing w:after="0" w:line="221"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b w:val="1"/>
          <w:bCs w:val="1"/>
          <w:i w:val="1"/>
          <w:iCs w:val="1"/>
          <w:color w:val="auto"/>
        </w:rPr>
        <w:t>Constant currency metrics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reporting period</w:t>
      </w:r>
      <w:r>
        <w:rPr>
          <w:rFonts w:ascii="MS PGothic" w:cs="MS PGothic" w:eastAsia="MS PGothic" w:hAnsi="MS PGothic"/>
          <w:sz w:val="18"/>
          <w:szCs w:val="18"/>
          <w:color w:val="auto"/>
        </w:rPr>
        <w:t>‑</w:t>
      </w:r>
      <w:r>
        <w:rPr>
          <w:rFonts w:ascii="Arial" w:cs="Arial" w:eastAsia="Arial" w:hAnsi="Arial"/>
          <w:sz w:val="18"/>
          <w:szCs w:val="18"/>
          <w:color w:val="auto"/>
        </w:rPr>
        <w:t>over</w:t>
      </w:r>
      <w:r>
        <w:rPr>
          <w:rFonts w:ascii="MS PGothic" w:cs="MS PGothic" w:eastAsia="MS PGothic" w:hAnsi="MS PGothic"/>
          <w:sz w:val="18"/>
          <w:szCs w:val="18"/>
          <w:color w:val="auto"/>
        </w:rPr>
        <w:t>‑</w:t>
      </w:r>
      <w:r>
        <w:rPr>
          <w:rFonts w:ascii="Arial" w:cs="Arial" w:eastAsia="Arial" w:hAnsi="Arial"/>
          <w:sz w:val="18"/>
          <w:szCs w:val="18"/>
          <w:color w:val="auto"/>
        </w:rPr>
        <w:t>period results, we calculate the effects of foreign currency fluctuations and constant currency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information by translating current period results using prior period average foreign currency exchange rates. Our definition of constant currency may differ from other companies reporting similarly named measures, and these constant currency performance measures should be viewed in addition to, and not as a substitute for, our operating performance measures calculated in accordance with accounting principles generally accepted in the United States of America (“U.S. GAAP”).</w:t>
      </w:r>
    </w:p>
    <w:p>
      <w:pPr>
        <w:spacing w:after="0" w:line="205"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i w:val="1"/>
          <w:iCs w:val="1"/>
          <w:color w:val="auto"/>
        </w:rPr>
        <w:t xml:space="preserve">ARR growth rate. </w:t>
      </w:r>
      <w:r>
        <w:rPr>
          <w:rFonts w:ascii="Arial" w:cs="Arial" w:eastAsia="Arial" w:hAnsi="Arial"/>
          <w:sz w:val="17"/>
          <w:szCs w:val="17"/>
          <w:color w:val="auto"/>
        </w:rPr>
        <w:t>Our ARR growth rate is the growth rate of our ARR, measured on a constant currency basis. Our ARR is defined as the sum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annualized value of our portfolio of contracts that produce recurring revenues as of the last day of the reporting period, and the annualized value of the last three months of recognized revenues for our contractually recurring consumption</w:t>
      </w:r>
      <w:r>
        <w:rPr>
          <w:rFonts w:ascii="MS PGothic" w:cs="MS PGothic" w:eastAsia="MS PGothic" w:hAnsi="MS PGothic"/>
          <w:sz w:val="17"/>
          <w:szCs w:val="17"/>
          <w:color w:val="auto"/>
        </w:rPr>
        <w:t>‑</w:t>
      </w:r>
      <w:r>
        <w:rPr>
          <w:rFonts w:ascii="Arial" w:cs="Arial" w:eastAsia="Arial" w:hAnsi="Arial"/>
          <w:sz w:val="17"/>
          <w:szCs w:val="17"/>
          <w:color w:val="auto"/>
        </w:rPr>
        <w:t>based software subscriptions with consumption measurement durations of less than one year. We believe that the last three months of recognized revenues, on an annualized basis, for our recurring software subscriptions with consumption measurement period durations of less than one year is a reasonable estimate of the annual revenues, given our consistently high retention rate and stability of usage under such subscriptions. ARR resulting from the annualization of recurring contracts with consumption measurement durations of less than one year, as a percentage of total ARR, was 39% and 38% as of March 31, 2022 and 2021, respectively. Within our consumption</w:t>
      </w:r>
      <w:r>
        <w:rPr>
          <w:rFonts w:ascii="MS PGothic" w:cs="MS PGothic" w:eastAsia="MS PGothic" w:hAnsi="MS PGothic"/>
          <w:sz w:val="17"/>
          <w:szCs w:val="17"/>
          <w:color w:val="auto"/>
        </w:rPr>
        <w:t>‑</w:t>
      </w:r>
      <w:r>
        <w:rPr>
          <w:rFonts w:ascii="Arial" w:cs="Arial" w:eastAsia="Arial" w:hAnsi="Arial"/>
          <w:sz w:val="17"/>
          <w:szCs w:val="17"/>
          <w:color w:val="auto"/>
        </w:rPr>
        <w:t>measured ARR, the continuous uptake of our E365 subscription offering has increased daily consumption</w:t>
      </w:r>
      <w:r>
        <w:rPr>
          <w:rFonts w:ascii="MS PGothic" w:cs="MS PGothic" w:eastAsia="MS PGothic" w:hAnsi="MS PGothic"/>
          <w:sz w:val="17"/>
          <w:szCs w:val="17"/>
          <w:color w:val="auto"/>
        </w:rPr>
        <w:t>‑</w:t>
      </w:r>
      <w:r>
        <w:rPr>
          <w:rFonts w:ascii="Arial" w:cs="Arial" w:eastAsia="Arial" w:hAnsi="Arial"/>
          <w:sz w:val="17"/>
          <w:szCs w:val="17"/>
          <w:color w:val="auto"/>
        </w:rPr>
        <w:t>measured ARR, representing 30% of total ARR as of March 31, 2022. Our ARR growth rate was favorably impacted by the ARR onboarding from our platform acquisitions of Power Line Systems and Seequent Holdings Limited (“Seequent”) by 15% for the twelve months ended March 31, 2022. We believe that ARR and ARR growth are important metrics indicating the scale and growth of our business. Furthermore, we believe ARR, considered in connection with our recurring revenues dollar</w:t>
      </w:r>
      <w:r>
        <w:rPr>
          <w:rFonts w:ascii="MS PGothic" w:cs="MS PGothic" w:eastAsia="MS PGothic" w:hAnsi="MS PGothic"/>
          <w:sz w:val="17"/>
          <w:szCs w:val="17"/>
          <w:color w:val="auto"/>
        </w:rPr>
        <w:t>‑</w:t>
      </w:r>
      <w:r>
        <w:rPr>
          <w:rFonts w:ascii="Arial" w:cs="Arial" w:eastAsia="Arial" w:hAnsi="Arial"/>
          <w:sz w:val="17"/>
          <w:szCs w:val="17"/>
          <w:color w:val="auto"/>
        </w:rPr>
        <w:t>based net retention rate, is a leading indicator of revenue growth.</w:t>
      </w:r>
    </w:p>
    <w:p>
      <w:pPr>
        <w:spacing w:after="0" w:line="208" w:lineRule="exact"/>
        <w:rPr>
          <w:sz w:val="20"/>
          <w:szCs w:val="20"/>
          <w:color w:val="auto"/>
        </w:rPr>
      </w:pPr>
    </w:p>
    <w:p>
      <w:pPr>
        <w:jc w:val="both"/>
        <w:ind w:right="20"/>
        <w:spacing w:after="0" w:line="220" w:lineRule="exact"/>
        <w:rPr>
          <w:sz w:val="20"/>
          <w:szCs w:val="20"/>
          <w:color w:val="auto"/>
        </w:rPr>
      </w:pPr>
      <w:r>
        <w:rPr>
          <w:rFonts w:ascii="Arial" w:cs="Arial" w:eastAsia="Arial" w:hAnsi="Arial"/>
          <w:sz w:val="17"/>
          <w:szCs w:val="17"/>
          <w:color w:val="auto"/>
        </w:rPr>
        <w:t>In March 2022, in response to the Russia</w:t>
      </w:r>
      <w:r>
        <w:rPr>
          <w:rFonts w:ascii="MS PGothic" w:cs="MS PGothic" w:eastAsia="MS PGothic" w:hAnsi="MS PGothic"/>
          <w:sz w:val="17"/>
          <w:szCs w:val="17"/>
          <w:color w:val="auto"/>
        </w:rPr>
        <w:t>‑</w:t>
      </w:r>
      <w:r>
        <w:rPr>
          <w:rFonts w:ascii="Arial" w:cs="Arial" w:eastAsia="Arial" w:hAnsi="Arial"/>
          <w:sz w:val="17"/>
          <w:szCs w:val="17"/>
          <w:color w:val="auto"/>
        </w:rPr>
        <w:t>Ukraine war, we announced a pause of sales in Russia and Belarus, in addition to our strict compliance with applicable sanctions, regimes, and other regulatory restrictions on business activities in those countries. As a result of the conflict, we have deemed our overall business recurrence in the affected countries to have been reduced by about 50%, and accordingly, have reduced our related ARR by $5,190. Our ARR as of March 31, 2022 was $962,550, calculated using the spot foreign exchange rates as of March 31, 2022.</w:t>
      </w:r>
    </w:p>
    <w:p>
      <w:pPr>
        <w:spacing w:after="0" w:line="204"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i w:val="1"/>
          <w:iCs w:val="1"/>
          <w:color w:val="auto"/>
        </w:rPr>
        <w:t xml:space="preserve">Account retention rate. </w:t>
      </w:r>
      <w:r>
        <w:rPr>
          <w:rFonts w:ascii="Arial" w:cs="Arial" w:eastAsia="Arial" w:hAnsi="Arial"/>
          <w:sz w:val="18"/>
          <w:szCs w:val="18"/>
          <w:color w:val="auto"/>
        </w:rPr>
        <w:t>Our account retention rate for any given twelve-month period is calculated using the average currency exchange rates for the prior</w:t>
      </w:r>
      <w:r>
        <w:rPr>
          <w:rFonts w:ascii="Arial" w:cs="Arial" w:eastAsia="Arial" w:hAnsi="Arial"/>
          <w:sz w:val="18"/>
          <w:szCs w:val="18"/>
          <w:i w:val="1"/>
          <w:iCs w:val="1"/>
          <w:color w:val="auto"/>
        </w:rPr>
        <w:t xml:space="preserve"> </w:t>
      </w:r>
      <w:r>
        <w:rPr>
          <w:rFonts w:ascii="Arial" w:cs="Arial" w:eastAsia="Arial" w:hAnsi="Arial"/>
          <w:sz w:val="18"/>
          <w:szCs w:val="18"/>
          <w:color w:val="auto"/>
        </w:rPr>
        <w:t>period, as follows: the prior period recurring revenues from all accounts with recurring revenues in the current and prior period, divided by total recurring revenues from all accounts during the prior period. Our account retention rate is an important indicator that provides insight into the long</w:t>
      </w:r>
      <w:r>
        <w:rPr>
          <w:rFonts w:ascii="MS PGothic" w:cs="MS PGothic" w:eastAsia="MS PGothic" w:hAnsi="MS PGothic"/>
          <w:sz w:val="18"/>
          <w:szCs w:val="18"/>
          <w:color w:val="auto"/>
        </w:rPr>
        <w:t>‑</w:t>
      </w:r>
      <w:r>
        <w:rPr>
          <w:rFonts w:ascii="Arial" w:cs="Arial" w:eastAsia="Arial" w:hAnsi="Arial"/>
          <w:sz w:val="18"/>
          <w:szCs w:val="18"/>
          <w:color w:val="auto"/>
        </w:rPr>
        <w:t>term value of our account relationships and our ability to retain our account base. We believe that our consistent and high account retention rates illustrate our ability to retain and cultivate long</w:t>
      </w:r>
      <w:r>
        <w:rPr>
          <w:rFonts w:ascii="MS PGothic" w:cs="MS PGothic" w:eastAsia="MS PGothic" w:hAnsi="MS PGothic"/>
          <w:sz w:val="18"/>
          <w:szCs w:val="18"/>
          <w:color w:val="auto"/>
        </w:rPr>
        <w:t>‑</w:t>
      </w:r>
      <w:r>
        <w:rPr>
          <w:rFonts w:ascii="Arial" w:cs="Arial" w:eastAsia="Arial" w:hAnsi="Arial"/>
          <w:sz w:val="18"/>
          <w:szCs w:val="18"/>
          <w:color w:val="auto"/>
        </w:rPr>
        <w:t>term relationships with our accounts.</w:t>
      </w:r>
    </w:p>
    <w:p>
      <w:pPr>
        <w:spacing w:after="0" w:line="205"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i w:val="1"/>
          <w:iCs w:val="1"/>
          <w:color w:val="auto"/>
        </w:rPr>
        <w:t>Recurring revenues dollar</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 xml:space="preserve">based net retention rate. </w:t>
      </w:r>
      <w:r>
        <w:rPr>
          <w:rFonts w:ascii="Arial" w:cs="Arial" w:eastAsia="Arial" w:hAnsi="Arial"/>
          <w:sz w:val="17"/>
          <w:szCs w:val="17"/>
          <w:color w:val="auto"/>
        </w:rPr>
        <w:t>Our recurring revenues dollar</w:t>
      </w:r>
      <w:r>
        <w:rPr>
          <w:rFonts w:ascii="MS PGothic" w:cs="MS PGothic" w:eastAsia="MS PGothic" w:hAnsi="MS PGothic"/>
          <w:sz w:val="17"/>
          <w:szCs w:val="17"/>
          <w:color w:val="auto"/>
        </w:rPr>
        <w:t>‑</w:t>
      </w:r>
      <w:r>
        <w:rPr>
          <w:rFonts w:ascii="Arial" w:cs="Arial" w:eastAsia="Arial" w:hAnsi="Arial"/>
          <w:sz w:val="17"/>
          <w:szCs w:val="17"/>
          <w:color w:val="auto"/>
        </w:rPr>
        <w:t>based net retention rate is calculated using the average exchange rates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prior period, as follows: the recurring revenues for the current period, including any growth or reductions from existing accounts, but excluding recurring revenues from any new accounts added during the current period, divided by the total recurring revenues from all accounts during the prior period. A period is defined as any trailing twelve months. We believe our recurring revenues dollar</w:t>
      </w:r>
      <w:r>
        <w:rPr>
          <w:rFonts w:ascii="MS PGothic" w:cs="MS PGothic" w:eastAsia="MS PGothic" w:hAnsi="MS PGothic"/>
          <w:sz w:val="17"/>
          <w:szCs w:val="17"/>
          <w:color w:val="auto"/>
        </w:rPr>
        <w:t>‑</w:t>
      </w:r>
      <w:r>
        <w:rPr>
          <w:rFonts w:ascii="Arial" w:cs="Arial" w:eastAsia="Arial" w:hAnsi="Arial"/>
          <w:sz w:val="17"/>
          <w:szCs w:val="17"/>
          <w:color w:val="auto"/>
        </w:rPr>
        <w:t>based net retention rate is a key indicator of our success in growing our revenues within our existing accounts. Given that recurring revenues represented 87% of our total revenues for the twelve months ended March 31, 2022, this metric helps explain our revenue performance as primarily growth into existing accounts. We believe that our consistent and high recurring revenues dollar</w:t>
      </w:r>
      <w:r>
        <w:rPr>
          <w:rFonts w:ascii="MS PGothic" w:cs="MS PGothic" w:eastAsia="MS PGothic" w:hAnsi="MS PGothic"/>
          <w:sz w:val="17"/>
          <w:szCs w:val="17"/>
          <w:color w:val="auto"/>
        </w:rPr>
        <w:t>‑</w:t>
      </w:r>
      <w:r>
        <w:rPr>
          <w:rFonts w:ascii="Arial" w:cs="Arial" w:eastAsia="Arial" w:hAnsi="Arial"/>
          <w:sz w:val="17"/>
          <w:szCs w:val="17"/>
          <w:color w:val="auto"/>
        </w:rPr>
        <w:t>based net retention rate illustrates our ability to consistently retain accounts and grow them.</w:t>
      </w:r>
    </w:p>
    <w:p>
      <w:pPr>
        <w:spacing w:after="0" w:line="206"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Our calculation of these metrics may not be comparable to other companies with similarly</w:t>
      </w:r>
      <w:r>
        <w:rPr>
          <w:rFonts w:ascii="MS PGothic" w:cs="MS PGothic" w:eastAsia="MS PGothic" w:hAnsi="MS PGothic"/>
          <w:sz w:val="18"/>
          <w:szCs w:val="18"/>
          <w:color w:val="auto"/>
        </w:rPr>
        <w:t>‑</w:t>
      </w:r>
      <w:r>
        <w:rPr>
          <w:rFonts w:ascii="Arial" w:cs="Arial" w:eastAsia="Arial" w:hAnsi="Arial"/>
          <w:sz w:val="18"/>
          <w:szCs w:val="18"/>
          <w:color w:val="auto"/>
        </w:rPr>
        <w:t>titled 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5" w:name="page46"/>
    <w:bookmarkEnd w:id="45"/>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In addition to our results determined in accordance with U.S. GAAP, we also use the below non</w:t>
      </w:r>
      <w:r>
        <w:rPr>
          <w:rFonts w:ascii="MS PGothic" w:cs="MS PGothic" w:eastAsia="MS PGothic" w:hAnsi="MS PGothic"/>
          <w:sz w:val="18"/>
          <w:szCs w:val="18"/>
          <w:color w:val="auto"/>
        </w:rPr>
        <w:t>‑</w:t>
      </w:r>
      <w:r>
        <w:rPr>
          <w:rFonts w:ascii="Arial" w:cs="Arial" w:eastAsia="Arial" w:hAnsi="Arial"/>
          <w:sz w:val="18"/>
          <w:szCs w:val="18"/>
          <w:color w:val="auto"/>
        </w:rPr>
        <w:t>GAAP financial information to evaluate our ongoing operations and for internal planning and forecasting purposes.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Three Months Ended</w:t>
            </w:r>
          </w:p>
        </w:tc>
        <w:tc>
          <w:tcPr>
            <w:tcW w:w="960" w:type="dxa"/>
            <w:vAlign w:val="bottom"/>
          </w:tcPr>
          <w:p>
            <w:pPr>
              <w:spacing w:after="0"/>
              <w:rPr>
                <w:sz w:val="18"/>
                <w:szCs w:val="18"/>
                <w:color w:val="auto"/>
              </w:rPr>
            </w:pPr>
          </w:p>
        </w:tc>
      </w:tr>
      <w:tr>
        <w:trPr>
          <w:trHeight w:val="219"/>
        </w:trPr>
        <w:tc>
          <w:tcPr>
            <w:tcW w:w="786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4"/>
              </w:rPr>
              <w:t>March 31,</w:t>
            </w:r>
          </w:p>
        </w:tc>
        <w:tc>
          <w:tcPr>
            <w:tcW w:w="960" w:type="dxa"/>
            <w:vAlign w:val="bottom"/>
            <w:tcBorders>
              <w:bottom w:val="single" w:sz="8" w:color="auto"/>
            </w:tcBorders>
          </w:tcPr>
          <w:p>
            <w:pPr>
              <w:spacing w:after="0"/>
              <w:rPr>
                <w:sz w:val="19"/>
                <w:szCs w:val="19"/>
                <w:color w:val="auto"/>
              </w:rPr>
            </w:pPr>
          </w:p>
        </w:tc>
      </w:tr>
      <w:tr>
        <w:trPr>
          <w:trHeight w:val="210"/>
        </w:trPr>
        <w:tc>
          <w:tcPr>
            <w:tcW w:w="78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2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w w:val="89"/>
              </w:rPr>
              <w:t>2021</w:t>
            </w:r>
          </w:p>
        </w:tc>
      </w:tr>
      <w:tr>
        <w:trPr>
          <w:trHeight w:val="22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940" w:type="dxa"/>
            <w:vAlign w:val="bottom"/>
            <w:shd w:val="clear" w:color="auto" w:fill="CCEEFF"/>
          </w:tcPr>
          <w:p>
            <w:pPr>
              <w:jc w:val="right"/>
              <w:ind w:right="755"/>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97,616</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82,976</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79,556</w:t>
            </w: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64,130</w:t>
            </w:r>
          </w:p>
        </w:tc>
      </w:tr>
    </w:tbl>
    <w:p>
      <w:pPr>
        <w:spacing w:after="0" w:line="295"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We define Adjusted EBITDA as net income adjusted for interest expense, net, provision (benefit) for income taxes, depreciation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(income) relating to deferred compensation plan liabilities, acquisition expenses, other non</w:t>
      </w:r>
      <w:r>
        <w:rPr>
          <w:rFonts w:ascii="MS PGothic" w:cs="MS PGothic" w:eastAsia="MS PGothic" w:hAnsi="MS PGothic"/>
          <w:sz w:val="18"/>
          <w:szCs w:val="18"/>
          <w:color w:val="auto"/>
        </w:rPr>
        <w:t>‑</w:t>
      </w:r>
      <w:r>
        <w:rPr>
          <w:rFonts w:ascii="Arial" w:cs="Arial" w:eastAsia="Arial" w:hAnsi="Arial"/>
          <w:sz w:val="18"/>
          <w:szCs w:val="18"/>
          <w:color w:val="auto"/>
        </w:rPr>
        <w:t>operating (income) expense, net, and (income) loss from investment accounted for using the equity method, net of tax.</w:t>
      </w:r>
    </w:p>
    <w:p>
      <w:pPr>
        <w:spacing w:after="0" w:line="204"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i w:val="1"/>
          <w:iCs w:val="1"/>
          <w:color w:val="auto"/>
        </w:rPr>
        <w:t>Adjusted Net Income</w:t>
      </w:r>
      <w:r>
        <w:rPr>
          <w:rFonts w:ascii="Arial" w:cs="Arial" w:eastAsia="Arial" w:hAnsi="Arial"/>
          <w:sz w:val="18"/>
          <w:szCs w:val="18"/>
          <w:color w:val="auto"/>
        </w:rPr>
        <w:t>. We define Adjusted Net Income as net income adjusted for the following: amortization of purchased intangibles and developed</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(income) relating to deferred compensation plan liabilities, acquisition expenses, other non</w:t>
      </w:r>
      <w:r>
        <w:rPr>
          <w:rFonts w:ascii="MS PGothic" w:cs="MS PGothic" w:eastAsia="MS PGothic" w:hAnsi="MS PGothic"/>
          <w:sz w:val="18"/>
          <w:szCs w:val="18"/>
          <w:color w:val="auto"/>
        </w:rPr>
        <w:t>‑</w:t>
      </w:r>
      <w:r>
        <w:rPr>
          <w:rFonts w:ascii="Arial" w:cs="Arial" w:eastAsia="Arial" w:hAnsi="Arial"/>
          <w:sz w:val="18"/>
          <w:szCs w:val="18"/>
          <w:color w:val="auto"/>
        </w:rPr>
        <w:t>operating (income) expense, net, the tax effect of the above adjustments to net income, and (income) loss from investment accounted for using the equity method, net of tax. The income tax effect of non</w:t>
      </w:r>
      <w:r>
        <w:rPr>
          <w:rFonts w:ascii="MS PGothic" w:cs="MS PGothic" w:eastAsia="MS PGothic" w:hAnsi="MS PGothic"/>
          <w:sz w:val="18"/>
          <w:szCs w:val="18"/>
          <w:color w:val="auto"/>
        </w:rPr>
        <w:t>‑</w:t>
      </w:r>
      <w:r>
        <w:rPr>
          <w:rFonts w:ascii="Arial" w:cs="Arial" w:eastAsia="Arial" w:hAnsi="Arial"/>
          <w:sz w:val="18"/>
          <w:szCs w:val="18"/>
          <w:color w:val="auto"/>
        </w:rPr>
        <w:t>GAAP adjustments was determined using the applicable rates in the taxing jurisdictions in which income or expense occurred, and represent both current and deferred income tax expense or benefit based on the nature of the non</w:t>
      </w:r>
      <w:r>
        <w:rPr>
          <w:rFonts w:ascii="MS PGothic" w:cs="MS PGothic" w:eastAsia="MS PGothic" w:hAnsi="MS PGothic"/>
          <w:sz w:val="18"/>
          <w:szCs w:val="18"/>
          <w:color w:val="auto"/>
        </w:rPr>
        <w:t>‑</w:t>
      </w:r>
      <w:r>
        <w:rPr>
          <w:rFonts w:ascii="Arial" w:cs="Arial" w:eastAsia="Arial" w:hAnsi="Arial"/>
          <w:sz w:val="18"/>
          <w:szCs w:val="18"/>
          <w:color w:val="auto"/>
        </w:rPr>
        <w:t>GAAP adjustments, including the tax effects of non</w:t>
      </w:r>
      <w:r>
        <w:rPr>
          <w:rFonts w:ascii="MS PGothic" w:cs="MS PGothic" w:eastAsia="MS PGothic" w:hAnsi="MS PGothic"/>
          <w:sz w:val="18"/>
          <w:szCs w:val="18"/>
          <w:color w:val="auto"/>
        </w:rPr>
        <w:t>‑</w:t>
      </w:r>
      <w:r>
        <w:rPr>
          <w:rFonts w:ascii="Arial" w:cs="Arial" w:eastAsia="Arial" w:hAnsi="Arial"/>
          <w:sz w:val="18"/>
          <w:szCs w:val="18"/>
          <w:color w:val="auto"/>
        </w:rPr>
        <w:t>cash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w:t>
      </w:r>
    </w:p>
    <w:p>
      <w:pPr>
        <w:spacing w:after="0" w:line="203"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Adjusted EBITDA and Adjusted Net Income are not presentations made in accordance with U.S. GAAP, and our use of the terms Adjusted EBITDA and Adjusted Net Income may vary from the use of similarly titled measures by others in our industry due to the potential inconsistencies in the method of calculation and differences due to items subject to interpretation. We believe the presentation of Adjusted EBITDA and Adjusted Net Income provides useful information to management and investors regarding financial and business trends related to our results of operations and that when non</w:t>
      </w:r>
      <w:r>
        <w:rPr>
          <w:rFonts w:ascii="MS PGothic" w:cs="MS PGothic" w:eastAsia="MS PGothic" w:hAnsi="MS PGothic"/>
          <w:sz w:val="18"/>
          <w:szCs w:val="18"/>
          <w:color w:val="auto"/>
        </w:rPr>
        <w:t>‑</w:t>
      </w:r>
      <w:r>
        <w:rPr>
          <w:rFonts w:ascii="Arial" w:cs="Arial" w:eastAsia="Arial" w:hAnsi="Arial"/>
          <w:sz w:val="18"/>
          <w:szCs w:val="18"/>
          <w:color w:val="auto"/>
        </w:rPr>
        <w:t>GAAP financial information is viewed with U.S. GAAP financial information, investors are provided with a more meaningful understanding of our ongoing operating performance. We also use Adjusted EBITDA and Adjusted Net Income to compare our results to those of our competitors and to consistently measure our performance from period to period. During the third quarter of 2021, we modified our definitions of Adjusted EBITDA and Adjusted Net Income to adjust for expense (income) relating to deferred compensation plan liabilities and amounts for all periods herein reflect application of the modified definition.</w:t>
      </w:r>
    </w:p>
    <w:p>
      <w:pPr>
        <w:spacing w:after="0" w:line="20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Adjusted EBITDA and Adjusted Net Income should not be considered as alternatives to net income, operating income, or any other performance measures derived in accordance with U.S. GAAP as measures of operating performance. Adjusted EBITDA and Adjusted Net Income have important limitations as analytical tools and should not be considered in isolation or as a substitute for analysis of our results as reported under U.S.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Reconciliation of net income to Adjusted EBITDA:</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gridSpan w:val="3"/>
          </w:tcPr>
          <w:p>
            <w:pPr>
              <w:jc w:val="center"/>
              <w:ind w:left="492"/>
              <w:spacing w:after="0"/>
              <w:rPr>
                <w:sz w:val="20"/>
                <w:szCs w:val="20"/>
                <w:color w:val="auto"/>
              </w:rPr>
            </w:pPr>
            <w:r>
              <w:rPr>
                <w:rFonts w:ascii="Arial" w:cs="Arial" w:eastAsia="Arial" w:hAnsi="Arial"/>
                <w:sz w:val="16"/>
                <w:szCs w:val="16"/>
                <w:b w:val="1"/>
                <w:bCs w:val="1"/>
                <w:color w:val="auto"/>
                <w:w w:val="93"/>
              </w:rPr>
              <w:t>Three Months Ended</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jc w:val="center"/>
              <w:ind w:left="512"/>
              <w:spacing w:after="0"/>
              <w:rPr>
                <w:sz w:val="20"/>
                <w:szCs w:val="20"/>
                <w:color w:val="auto"/>
              </w:rPr>
            </w:pPr>
            <w:r>
              <w:rPr>
                <w:rFonts w:ascii="Arial" w:cs="Arial" w:eastAsia="Arial" w:hAnsi="Arial"/>
                <w:sz w:val="16"/>
                <w:szCs w:val="16"/>
                <w:b w:val="1"/>
                <w:bCs w:val="1"/>
                <w:color w:val="auto"/>
                <w:w w:val="94"/>
              </w:rPr>
              <w:t>March 31,</w:t>
            </w: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8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w w:val="89"/>
              </w:rPr>
              <w:t>2021</w:t>
            </w: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56,388</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57,006</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7,042</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2,319</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3,231</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10,358</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3"/>
                <w:szCs w:val="23"/>
                <w:color w:val="auto"/>
                <w:vertAlign w:val="superscript"/>
              </w:rPr>
              <w:t>(1)</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17,212</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8,993</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Stock-based compensation </w:t>
            </w:r>
            <w:r>
              <w:rPr>
                <w:rFonts w:ascii="Arial" w:cs="Arial" w:eastAsia="Arial" w:hAnsi="Arial"/>
                <w:sz w:val="23"/>
                <w:szCs w:val="23"/>
                <w:color w:val="auto"/>
                <w:vertAlign w:val="superscript"/>
              </w:rPr>
              <w:t>(3)</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14,953</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8,913</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Deferred compensation plan </w:t>
            </w:r>
            <w:r>
              <w:rPr>
                <w:rFonts w:ascii="Arial" w:cs="Arial" w:eastAsia="Arial" w:hAnsi="Arial"/>
                <w:sz w:val="23"/>
                <w:szCs w:val="23"/>
                <w:color w:val="auto"/>
                <w:vertAlign w:val="superscript"/>
              </w:rPr>
              <w:t>(4)</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(5,138)</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Acquisition expenses </w:t>
            </w:r>
            <w:r>
              <w:rPr>
                <w:rFonts w:ascii="Arial" w:cs="Arial" w:eastAsia="Arial" w:hAnsi="Arial"/>
                <w:sz w:val="23"/>
                <w:szCs w:val="23"/>
                <w:color w:val="auto"/>
                <w:vertAlign w:val="superscript"/>
              </w:rPr>
              <w:t>(5)</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13,997</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9,256</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Other income, net </w:t>
            </w:r>
            <w:r>
              <w:rPr>
                <w:rFonts w:ascii="Arial" w:cs="Arial" w:eastAsia="Arial" w:hAnsi="Arial"/>
                <w:sz w:val="23"/>
                <w:szCs w:val="23"/>
                <w:color w:val="auto"/>
                <w:vertAlign w:val="superscript"/>
              </w:rPr>
              <w:t>(6)</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(10,641)</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(14,482)</w:t>
            </w:r>
          </w:p>
        </w:tc>
        <w:tc>
          <w:tcPr>
            <w:tcW w:w="0" w:type="dxa"/>
            <w:vAlign w:val="bottom"/>
          </w:tcPr>
          <w:p>
            <w:pPr>
              <w:spacing w:after="0"/>
              <w:rPr>
                <w:sz w:val="1"/>
                <w:szCs w:val="1"/>
                <w:color w:val="auto"/>
              </w:rPr>
            </w:pPr>
          </w:p>
        </w:tc>
      </w:tr>
      <w:tr>
        <w:trPr>
          <w:trHeight w:val="27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investment accounted for using the equity method, net of tax</w:t>
            </w: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26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97,616</w:t>
            </w:r>
          </w:p>
        </w:tc>
        <w:tc>
          <w:tcPr>
            <w:tcW w:w="26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82,976</w:t>
            </w:r>
          </w:p>
        </w:tc>
        <w:tc>
          <w:tcPr>
            <w:tcW w:w="0" w:type="dxa"/>
            <w:vAlign w:val="bottom"/>
          </w:tcPr>
          <w:p>
            <w:pPr>
              <w:spacing w:after="0"/>
              <w:rPr>
                <w:sz w:val="1"/>
                <w:szCs w:val="1"/>
                <w:color w:val="auto"/>
              </w:rPr>
            </w:pPr>
          </w:p>
        </w:tc>
      </w:tr>
      <w:tr>
        <w:trPr>
          <w:trHeight w:val="21"/>
        </w:trPr>
        <w:tc>
          <w:tcPr>
            <w:tcW w:w="7860" w:type="dxa"/>
            <w:vAlign w:val="bottom"/>
            <w:vMerge w:val="restart"/>
          </w:tcPr>
          <w:p>
            <w:pPr>
              <w:spacing w:after="0"/>
              <w:rPr>
                <w:sz w:val="20"/>
                <w:szCs w:val="20"/>
                <w:color w:val="auto"/>
              </w:rPr>
            </w:pPr>
            <w:r>
              <w:rPr>
                <w:rFonts w:ascii="Arial" w:cs="Arial" w:eastAsia="Arial" w:hAnsi="Arial"/>
                <w:sz w:val="18"/>
                <w:szCs w:val="18"/>
                <w:color w:val="auto"/>
              </w:rPr>
              <w:t>Reconciliation of net income to Adjusted Net Income:</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78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60" w:type="dxa"/>
            <w:vAlign w:val="bottom"/>
            <w:gridSpan w:val="3"/>
          </w:tcPr>
          <w:p>
            <w:pPr>
              <w:jc w:val="center"/>
              <w:ind w:left="492"/>
              <w:spacing w:after="0"/>
              <w:rPr>
                <w:sz w:val="20"/>
                <w:szCs w:val="20"/>
                <w:color w:val="auto"/>
              </w:rPr>
            </w:pPr>
            <w:r>
              <w:rPr>
                <w:rFonts w:ascii="Arial" w:cs="Arial" w:eastAsia="Arial" w:hAnsi="Arial"/>
                <w:sz w:val="16"/>
                <w:szCs w:val="16"/>
                <w:b w:val="1"/>
                <w:bCs w:val="1"/>
                <w:color w:val="auto"/>
                <w:w w:val="93"/>
              </w:rPr>
              <w:t>Three Months Ended</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8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jc w:val="center"/>
              <w:ind w:left="512"/>
              <w:spacing w:after="0"/>
              <w:rPr>
                <w:sz w:val="20"/>
                <w:szCs w:val="20"/>
                <w:color w:val="auto"/>
              </w:rPr>
            </w:pPr>
            <w:r>
              <w:rPr>
                <w:rFonts w:ascii="Arial" w:cs="Arial" w:eastAsia="Arial" w:hAnsi="Arial"/>
                <w:sz w:val="16"/>
                <w:szCs w:val="16"/>
                <w:b w:val="1"/>
                <w:bCs w:val="1"/>
                <w:color w:val="auto"/>
                <w:w w:val="94"/>
              </w:rPr>
              <w:t>March 31,</w:t>
            </w: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8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w w:val="89"/>
              </w:rPr>
              <w:t>2021</w:t>
            </w: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56,388</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57,006</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Non-GAAP adjustments, prior to income taxes: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Amortization of purchased intangibles and developed technologies </w:t>
            </w:r>
            <w:r>
              <w:rPr>
                <w:rFonts w:ascii="Arial" w:cs="Arial" w:eastAsia="Arial" w:hAnsi="Arial"/>
                <w:sz w:val="23"/>
                <w:szCs w:val="23"/>
                <w:color w:val="auto"/>
                <w:vertAlign w:val="superscript"/>
              </w:rPr>
              <w:t>(2)</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12,928</w:t>
            </w:r>
          </w:p>
        </w:tc>
        <w:tc>
          <w:tcPr>
            <w:tcW w:w="2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4,683</w:t>
            </w:r>
          </w:p>
        </w:tc>
        <w:tc>
          <w:tcPr>
            <w:tcW w:w="0" w:type="dxa"/>
            <w:vAlign w:val="bottom"/>
          </w:tcPr>
          <w:p>
            <w:pPr>
              <w:spacing w:after="0"/>
              <w:rPr>
                <w:sz w:val="1"/>
                <w:szCs w:val="1"/>
                <w:color w:val="auto"/>
              </w:rPr>
            </w:pPr>
          </w:p>
        </w:tc>
      </w:tr>
      <w:tr>
        <w:trPr>
          <w:trHeight w:val="270"/>
        </w:trPr>
        <w:tc>
          <w:tcPr>
            <w:tcW w:w="7860" w:type="dxa"/>
            <w:vAlign w:val="bottom"/>
          </w:tcPr>
          <w:p>
            <w:pPr>
              <w:ind w:left="180"/>
              <w:spacing w:after="0"/>
              <w:rPr>
                <w:sz w:val="20"/>
                <w:szCs w:val="20"/>
                <w:color w:val="auto"/>
              </w:rPr>
            </w:pPr>
            <w:r>
              <w:rPr>
                <w:rFonts w:ascii="Arial" w:cs="Arial" w:eastAsia="Arial" w:hAnsi="Arial"/>
                <w:sz w:val="18"/>
                <w:szCs w:val="18"/>
                <w:color w:val="auto"/>
              </w:rPr>
              <w:t xml:space="preserve">Stock-based compensation </w:t>
            </w:r>
            <w:r>
              <w:rPr>
                <w:rFonts w:ascii="Arial" w:cs="Arial" w:eastAsia="Arial" w:hAnsi="Arial"/>
                <w:sz w:val="23"/>
                <w:szCs w:val="23"/>
                <w:color w:val="auto"/>
                <w:vertAlign w:val="superscript"/>
              </w:rPr>
              <w:t>(3)</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14,953</w:t>
            </w: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8,913</w:t>
            </w:r>
          </w:p>
        </w:tc>
        <w:tc>
          <w:tcPr>
            <w:tcW w:w="0" w:type="dxa"/>
            <w:vAlign w:val="bottom"/>
          </w:tcPr>
          <w:p>
            <w:pPr>
              <w:spacing w:after="0"/>
              <w:rPr>
                <w:sz w:val="1"/>
                <w:szCs w:val="1"/>
                <w:color w:val="auto"/>
              </w:rPr>
            </w:pPr>
          </w:p>
        </w:tc>
      </w:tr>
      <w:tr>
        <w:trPr>
          <w:trHeight w:val="270"/>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Deferred compensation plan </w:t>
            </w:r>
            <w:r>
              <w:rPr>
                <w:rFonts w:ascii="Arial" w:cs="Arial" w:eastAsia="Arial" w:hAnsi="Arial"/>
                <w:sz w:val="23"/>
                <w:szCs w:val="23"/>
                <w:color w:val="auto"/>
                <w:vertAlign w:val="superscript"/>
              </w:rPr>
              <w:t>(4)</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(5,138)</w:t>
            </w:r>
          </w:p>
        </w:tc>
        <w:tc>
          <w:tcPr>
            <w:tcW w:w="2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0"/>
        </w:trPr>
        <w:tc>
          <w:tcPr>
            <w:tcW w:w="7860" w:type="dxa"/>
            <w:vAlign w:val="bottom"/>
          </w:tcPr>
          <w:p>
            <w:pPr>
              <w:ind w:left="180"/>
              <w:spacing w:after="0"/>
              <w:rPr>
                <w:sz w:val="20"/>
                <w:szCs w:val="20"/>
                <w:color w:val="auto"/>
              </w:rPr>
            </w:pPr>
            <w:r>
              <w:rPr>
                <w:rFonts w:ascii="Arial" w:cs="Arial" w:eastAsia="Arial" w:hAnsi="Arial"/>
                <w:sz w:val="18"/>
                <w:szCs w:val="18"/>
                <w:color w:val="auto"/>
              </w:rPr>
              <w:t xml:space="preserve">Acquisition expenses </w:t>
            </w:r>
            <w:r>
              <w:rPr>
                <w:rFonts w:ascii="Arial" w:cs="Arial" w:eastAsia="Arial" w:hAnsi="Arial"/>
                <w:sz w:val="23"/>
                <w:szCs w:val="23"/>
                <w:color w:val="auto"/>
                <w:vertAlign w:val="superscript"/>
              </w:rPr>
              <w:t>(5)</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13,997</w:t>
            </w: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9,256</w:t>
            </w:r>
          </w:p>
        </w:tc>
        <w:tc>
          <w:tcPr>
            <w:tcW w:w="0" w:type="dxa"/>
            <w:vAlign w:val="bottom"/>
          </w:tcPr>
          <w:p>
            <w:pPr>
              <w:spacing w:after="0"/>
              <w:rPr>
                <w:sz w:val="1"/>
                <w:szCs w:val="1"/>
                <w:color w:val="auto"/>
              </w:rPr>
            </w:pPr>
          </w:p>
        </w:tc>
      </w:tr>
      <w:tr>
        <w:trPr>
          <w:trHeight w:val="270"/>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Other income, net </w:t>
            </w:r>
            <w:r>
              <w:rPr>
                <w:rFonts w:ascii="Arial" w:cs="Arial" w:eastAsia="Arial" w:hAnsi="Arial"/>
                <w:sz w:val="23"/>
                <w:szCs w:val="23"/>
                <w:color w:val="auto"/>
                <w:vertAlign w:val="superscript"/>
              </w:rPr>
              <w:t>(6)</w:t>
            </w: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(10,641)</w:t>
            </w:r>
          </w:p>
        </w:tc>
        <w:tc>
          <w:tcPr>
            <w:tcW w:w="26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(14,482)</w:t>
            </w: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Total non-GAAP adjustments, prior to income taxes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26,099</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8,537</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effect of non-GAAP adjustments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(3,503)</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r>
        <w:trPr>
          <w:trHeight w:val="27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from investment accounted for using the equity method, net of tax</w:t>
            </w: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260" w:type="dxa"/>
            <w:vAlign w:val="bottom"/>
            <w:tcBorders>
              <w:bottom w:val="single" w:sz="8" w:color="CCEEFF"/>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Income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79,556</w:t>
            </w:r>
          </w:p>
        </w:tc>
        <w:tc>
          <w:tcPr>
            <w:tcW w:w="2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64,130</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190309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Further explanation of certain of our adjustments in arriving at Adjusted EBITDA and Adjusted Net Income are as follows:</w:t>
      </w:r>
    </w:p>
    <w:p>
      <w:pPr>
        <w:spacing w:after="0" w:line="225" w:lineRule="exact"/>
        <w:rPr>
          <w:sz w:val="20"/>
          <w:szCs w:val="20"/>
          <w:color w:val="auto"/>
        </w:rPr>
      </w:pPr>
    </w:p>
    <w:p>
      <w:pPr>
        <w:ind w:left="340" w:hanging="332"/>
        <w:spacing w:after="0" w:line="277" w:lineRule="auto"/>
        <w:tabs>
          <w:tab w:leader="none" w:pos="334"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includes amortization of $1,636 and $1,687 for the three months ended March 31, 2022</w:t>
      </w:r>
      <w:r>
        <w:rPr>
          <w:rFonts w:ascii="Arial" w:cs="Arial" w:eastAsia="Arial" w:hAnsi="Arial"/>
          <w:sz w:val="18"/>
          <w:szCs w:val="18"/>
          <w:i w:val="1"/>
          <w:iCs w:val="1"/>
          <w:color w:val="auto"/>
        </w:rPr>
        <w:t xml:space="preserve"> </w:t>
      </w:r>
      <w:r>
        <w:rPr>
          <w:rFonts w:ascii="Arial" w:cs="Arial" w:eastAsia="Arial" w:hAnsi="Arial"/>
          <w:sz w:val="18"/>
          <w:szCs w:val="18"/>
          <w:color w:val="auto"/>
        </w:rPr>
        <w:t>and 2021, respectively, related to certain projects under our Accelerated Commercial Development Program (“ACDP”).</w:t>
      </w:r>
    </w:p>
    <w:p>
      <w:pPr>
        <w:spacing w:after="0" w:line="170" w:lineRule="exact"/>
        <w:rPr>
          <w:rFonts w:ascii="Arial" w:cs="Arial" w:eastAsia="Arial" w:hAnsi="Arial"/>
          <w:sz w:val="18"/>
          <w:szCs w:val="18"/>
          <w:color w:val="auto"/>
        </w:rPr>
      </w:pPr>
    </w:p>
    <w:p>
      <w:pPr>
        <w:jc w:val="both"/>
        <w:ind w:left="340" w:hanging="332"/>
        <w:spacing w:after="0" w:line="219" w:lineRule="exact"/>
        <w:tabs>
          <w:tab w:leader="none" w:pos="334"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Amortization of purchased intangibles and developed technologies</w:t>
      </w:r>
      <w:r>
        <w:rPr>
          <w:rFonts w:ascii="Arial" w:cs="Arial" w:eastAsia="Arial" w:hAnsi="Arial"/>
          <w:sz w:val="18"/>
          <w:szCs w:val="18"/>
          <w:color w:val="auto"/>
        </w:rPr>
        <w:t>. Amortization of purchased intangibles varies in amount and frequency and is</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significantly impacted by the timing and size of our acquisitions. Management finds it useful to exclude these non</w:t>
      </w:r>
      <w:r>
        <w:rPr>
          <w:rFonts w:ascii="MS PGothic" w:cs="MS PGothic" w:eastAsia="MS PGothic" w:hAnsi="MS PGothic"/>
          <w:sz w:val="18"/>
          <w:szCs w:val="18"/>
          <w:color w:val="auto"/>
        </w:rPr>
        <w:t>‑</w:t>
      </w:r>
      <w:r>
        <w:rPr>
          <w:rFonts w:ascii="Arial" w:cs="Arial" w:eastAsia="Arial" w:hAnsi="Arial"/>
          <w:sz w:val="18"/>
          <w:szCs w:val="18"/>
          <w:color w:val="auto"/>
        </w:rPr>
        <w:t>cash charges from our operating expenses to assist in budgeting, planning, and forecasting future periods. The use of intangible assets and developed technologies contributed to our revenues earned during the periods presented and will also contribute to our revenues in future periods. Amortization of purchased intangible assets and developed technologies will recur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7" w:name="page48"/>
    <w:bookmarkEnd w:id="47"/>
    <w:p>
      <w:pPr>
        <w:jc w:val="both"/>
        <w:ind w:left="340" w:hanging="332"/>
        <w:spacing w:after="0" w:line="219" w:lineRule="exact"/>
        <w:tabs>
          <w:tab w:leader="none" w:pos="334"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Stock</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based compensation</w:t>
      </w:r>
      <w:r>
        <w:rPr>
          <w:rFonts w:ascii="Arial" w:cs="Arial" w:eastAsia="Arial" w:hAnsi="Arial"/>
          <w:sz w:val="18"/>
          <w:szCs w:val="18"/>
          <w:color w:val="auto"/>
        </w:rPr>
        <w:t>. We exclude certain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expenses from our non</w:t>
      </w:r>
      <w:r>
        <w:rPr>
          <w:rFonts w:ascii="MS PGothic" w:cs="MS PGothic" w:eastAsia="MS PGothic" w:hAnsi="MS PGothic"/>
          <w:sz w:val="18"/>
          <w:szCs w:val="18"/>
          <w:color w:val="auto"/>
        </w:rPr>
        <w:t>‑</w:t>
      </w:r>
      <w:r>
        <w:rPr>
          <w:rFonts w:ascii="Arial" w:cs="Arial" w:eastAsia="Arial" w:hAnsi="Arial"/>
          <w:sz w:val="18"/>
          <w:szCs w:val="18"/>
          <w:color w:val="auto"/>
        </w:rPr>
        <w:t>GAAP measures primarily because they are</w:t>
      </w:r>
      <w:r>
        <w:rPr>
          <w:rFonts w:ascii="Arial" w:cs="Arial" w:eastAsia="Arial" w:hAnsi="Arial"/>
          <w:sz w:val="18"/>
          <w:szCs w:val="18"/>
          <w:i w:val="1"/>
          <w:iCs w:val="1"/>
          <w:color w:val="auto"/>
        </w:rPr>
        <w:t xml:space="preserve"> </w:t>
      </w: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cash expenses and management finds it useful to exclude certain non</w:t>
      </w:r>
      <w:r>
        <w:rPr>
          <w:rFonts w:ascii="MS PGothic" w:cs="MS PGothic" w:eastAsia="MS PGothic" w:hAnsi="MS PGothic"/>
          <w:sz w:val="18"/>
          <w:szCs w:val="18"/>
          <w:color w:val="auto"/>
        </w:rPr>
        <w:t>‑</w:t>
      </w:r>
      <w:r>
        <w:rPr>
          <w:rFonts w:ascii="Arial" w:cs="Arial" w:eastAsia="Arial" w:hAnsi="Arial"/>
          <w:sz w:val="18"/>
          <w:szCs w:val="18"/>
          <w:color w:val="auto"/>
        </w:rPr>
        <w:t xml:space="preserve">cash charges to assess the appropriate level of various operating expenses to assist in budgeting, planning, and forecasting future periods. Moreover, because of the variety of award types and subjective assumptions that companies can use under Financial Accounting Standards Board Accounting Standards Codification Topic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we believe excluding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expenses allows investors to make meaningful comparisons between our recurring core business results of operations and those of other companies.</w:t>
      </w:r>
    </w:p>
    <w:p>
      <w:pPr>
        <w:spacing w:after="0" w:line="202" w:lineRule="exact"/>
        <w:rPr>
          <w:rFonts w:ascii="Arial" w:cs="Arial" w:eastAsia="Arial" w:hAnsi="Arial"/>
          <w:sz w:val="18"/>
          <w:szCs w:val="18"/>
          <w:color w:val="auto"/>
        </w:rPr>
      </w:pPr>
    </w:p>
    <w:p>
      <w:pPr>
        <w:jc w:val="both"/>
        <w:ind w:left="340" w:hanging="332"/>
        <w:spacing w:after="0" w:line="218" w:lineRule="exact"/>
        <w:tabs>
          <w:tab w:leader="none" w:pos="334"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Deferred compensation plan</w:t>
      </w:r>
      <w:r>
        <w:rPr>
          <w:rFonts w:ascii="Arial" w:cs="Arial" w:eastAsia="Arial" w:hAnsi="Arial"/>
          <w:sz w:val="17"/>
          <w:szCs w:val="17"/>
          <w:color w:val="auto"/>
        </w:rPr>
        <w:t>. In August 2021, our board of directors approved an amendment to the amended and restated Bentley Systems,</w:t>
      </w:r>
      <w:r>
        <w:rPr>
          <w:rFonts w:ascii="Arial" w:cs="Arial" w:eastAsia="Arial" w:hAnsi="Arial"/>
          <w:sz w:val="17"/>
          <w:szCs w:val="17"/>
          <w:i w:val="1"/>
          <w:iCs w:val="1"/>
          <w:color w:val="auto"/>
        </w:rPr>
        <w:t xml:space="preserve"> </w:t>
      </w:r>
      <w:r>
        <w:rPr>
          <w:rFonts w:ascii="Arial" w:cs="Arial" w:eastAsia="Arial" w:hAnsi="Arial"/>
          <w:sz w:val="17"/>
          <w:szCs w:val="17"/>
          <w:color w:val="auto"/>
        </w:rPr>
        <w:t>Incorporated Nonqualified Deferred Compensation Plan (the “DCP”), which offered to certain active executives in the DCP a one</w:t>
      </w:r>
      <w:r>
        <w:rPr>
          <w:rFonts w:ascii="MS PGothic" w:cs="MS PGothic" w:eastAsia="MS PGothic" w:hAnsi="MS PGothic"/>
          <w:sz w:val="17"/>
          <w:szCs w:val="17"/>
          <w:color w:val="auto"/>
        </w:rPr>
        <w:t>‑</w:t>
      </w:r>
      <w:r>
        <w:rPr>
          <w:rFonts w:ascii="Arial" w:cs="Arial" w:eastAsia="Arial" w:hAnsi="Arial"/>
          <w:sz w:val="17"/>
          <w:szCs w:val="17"/>
          <w:color w:val="auto"/>
        </w:rPr>
        <w:t>time, short</w:t>
      </w:r>
      <w:r>
        <w:rPr>
          <w:rFonts w:ascii="MS PGothic" w:cs="MS PGothic" w:eastAsia="MS PGothic" w:hAnsi="MS PGothic"/>
          <w:sz w:val="17"/>
          <w:szCs w:val="17"/>
          <w:color w:val="auto"/>
        </w:rPr>
        <w:t>‑</w:t>
      </w:r>
      <w:r>
        <w:rPr>
          <w:rFonts w:ascii="Arial" w:cs="Arial" w:eastAsia="Arial" w:hAnsi="Arial"/>
          <w:sz w:val="17"/>
          <w:szCs w:val="17"/>
          <w:color w:val="auto"/>
        </w:rPr>
        <w:t>term election to reallocate a limited portion of their DCP holdings from phantom shares of the Company’s Class B Common Stock into other phantom investment funds. For further discussion of the aforementioned DCP reallocation, see Note 12 to our consolidated financial statements included in Part II, Item 8 of our 2021 Annual Report on Form 10</w:t>
      </w:r>
      <w:r>
        <w:rPr>
          <w:rFonts w:ascii="MS PGothic" w:cs="MS PGothic" w:eastAsia="MS PGothic" w:hAnsi="MS PGothic"/>
          <w:sz w:val="17"/>
          <w:szCs w:val="17"/>
          <w:color w:val="auto"/>
        </w:rPr>
        <w:t>‑</w:t>
      </w:r>
      <w:r>
        <w:rPr>
          <w:rFonts w:ascii="Arial" w:cs="Arial" w:eastAsia="Arial" w:hAnsi="Arial"/>
          <w:sz w:val="17"/>
          <w:szCs w:val="17"/>
          <w:color w:val="auto"/>
        </w:rPr>
        <w:t xml:space="preserve">K. Deferred compensation plan liabilities are marked to market at the end of each reporting period, with changes in the liabilities recorded as an expense (income) to </w:t>
      </w:r>
      <w:r>
        <w:rPr>
          <w:rFonts w:ascii="Arial" w:cs="Arial" w:eastAsia="Arial" w:hAnsi="Arial"/>
          <w:sz w:val="17"/>
          <w:szCs w:val="17"/>
          <w:i w:val="1"/>
          <w:iCs w:val="1"/>
          <w:color w:val="auto"/>
        </w:rPr>
        <w:t>Deferred compensation plan</w:t>
      </w:r>
      <w:r>
        <w:rPr>
          <w:rFonts w:ascii="Arial" w:cs="Arial" w:eastAsia="Arial" w:hAnsi="Arial"/>
          <w:sz w:val="17"/>
          <w:szCs w:val="17"/>
          <w:color w:val="auto"/>
        </w:rPr>
        <w:t xml:space="preserve"> in the consolidated statements of operations. We exclude </w:t>
      </w:r>
      <w:r>
        <w:rPr>
          <w:rFonts w:ascii="Arial" w:cs="Arial" w:eastAsia="Arial" w:hAnsi="Arial"/>
          <w:sz w:val="17"/>
          <w:szCs w:val="17"/>
          <w:i w:val="1"/>
          <w:iCs w:val="1"/>
          <w:color w:val="auto"/>
        </w:rPr>
        <w:t>Deferred compensation plan</w:t>
      </w:r>
      <w:r>
        <w:rPr>
          <w:rFonts w:ascii="Arial" w:cs="Arial" w:eastAsia="Arial" w:hAnsi="Arial"/>
          <w:sz w:val="17"/>
          <w:szCs w:val="17"/>
          <w:color w:val="auto"/>
        </w:rPr>
        <w:t xml:space="preserve"> expense (income) because it is not reflective of our ongoing business and results of operation. We believe it is useful for investors to understand the effects of this item on our total operating expenses.</w:t>
      </w:r>
    </w:p>
    <w:p>
      <w:pPr>
        <w:spacing w:after="0" w:line="204" w:lineRule="exact"/>
        <w:rPr>
          <w:rFonts w:ascii="Arial" w:cs="Arial" w:eastAsia="Arial" w:hAnsi="Arial"/>
          <w:sz w:val="17"/>
          <w:szCs w:val="17"/>
          <w:color w:val="auto"/>
        </w:rPr>
      </w:pPr>
    </w:p>
    <w:p>
      <w:pPr>
        <w:jc w:val="both"/>
        <w:ind w:left="340" w:hanging="332"/>
        <w:spacing w:after="0" w:line="273" w:lineRule="auto"/>
        <w:tabs>
          <w:tab w:leader="none" w:pos="334"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Acquisition expenses</w:t>
      </w:r>
      <w:r>
        <w:rPr>
          <w:rFonts w:ascii="Arial" w:cs="Arial" w:eastAsia="Arial" w:hAnsi="Arial"/>
          <w:sz w:val="17"/>
          <w:szCs w:val="17"/>
          <w:color w:val="auto"/>
        </w:rPr>
        <w:t>. We incur expenses for professional services rendered in connection with business combinations, which are included in our</w:t>
      </w:r>
      <w:r>
        <w:rPr>
          <w:rFonts w:ascii="Arial" w:cs="Arial" w:eastAsia="Arial" w:hAnsi="Arial"/>
          <w:sz w:val="17"/>
          <w:szCs w:val="17"/>
          <w:i w:val="1"/>
          <w:iCs w:val="1"/>
          <w:color w:val="auto"/>
        </w:rPr>
        <w:t xml:space="preserve"> </w:t>
      </w:r>
      <w:r>
        <w:rPr>
          <w:rFonts w:ascii="Arial" w:cs="Arial" w:eastAsia="Arial" w:hAnsi="Arial"/>
          <w:sz w:val="17"/>
          <w:szCs w:val="17"/>
          <w:color w:val="auto"/>
        </w:rPr>
        <w:t>U.S. GAAP presentation of general and administrative expense. Also included in our acquisition expenses are retention incentives paid to executives of the acquired companies. For the three months ended March 31, 2022, $9,773 of our acquisition expenses related to our platform acquisition of Power Line Systems. For the three months ended March 31, 2021, $6,716 of our acquisition expenses related to our platform acquisition of Seequent. We exclude these acquisition expenses when we evaluate our continuing operational performance as we would not have otherwise incurred these expenses in the periods presented as part of our continuing operations.</w:t>
      </w:r>
    </w:p>
    <w:p>
      <w:pPr>
        <w:spacing w:after="0" w:line="177" w:lineRule="exact"/>
        <w:rPr>
          <w:rFonts w:ascii="Arial" w:cs="Arial" w:eastAsia="Arial" w:hAnsi="Arial"/>
          <w:sz w:val="17"/>
          <w:szCs w:val="17"/>
          <w:color w:val="auto"/>
        </w:rPr>
      </w:pPr>
    </w:p>
    <w:p>
      <w:pPr>
        <w:jc w:val="both"/>
        <w:ind w:left="340" w:hanging="332"/>
        <w:spacing w:after="0" w:line="290" w:lineRule="auto"/>
        <w:tabs>
          <w:tab w:leader="none" w:pos="334"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Other income, net</w:t>
      </w:r>
      <w:r>
        <w:rPr>
          <w:rFonts w:ascii="Arial" w:cs="Arial" w:eastAsia="Arial" w:hAnsi="Arial"/>
          <w:sz w:val="16"/>
          <w:szCs w:val="16"/>
          <w:color w:val="auto"/>
        </w:rPr>
        <w:t>. Primarily consists of foreign exchange losses (gains) of $3,071 and $(792) for the three months ended March 31, 2022 and 2021,</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respectively. The foreign exchange losses (gains) derive primarily from United States (“U.S.”) Dollar denominated cash and cash equivalents, accounts receivable, customer deposits, and intercompany balances held by foreign subsidiaries. The gains and losses from such translations are included in </w:t>
      </w:r>
      <w:r>
        <w:rPr>
          <w:rFonts w:ascii="Arial" w:cs="Arial" w:eastAsia="Arial" w:hAnsi="Arial"/>
          <w:sz w:val="16"/>
          <w:szCs w:val="16"/>
          <w:i w:val="1"/>
          <w:iCs w:val="1"/>
          <w:color w:val="auto"/>
        </w:rPr>
        <w:t xml:space="preserve">Other income, net </w:t>
      </w:r>
      <w:r>
        <w:rPr>
          <w:rFonts w:ascii="Arial" w:cs="Arial" w:eastAsia="Arial" w:hAnsi="Arial"/>
          <w:sz w:val="16"/>
          <w:szCs w:val="16"/>
          <w:color w:val="auto"/>
        </w:rPr>
        <w:t>in the consolidated statements of operations. For the three months ended March 31, 2022, other income, net includes a gain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change in fair value of our interest rate swap of $12,084 and a gain on the sale of 50% of our interest in our aircraft of $2,029, partially offset by a loss from the change in fair value of acquisition contingent consideration of $500. For the three months ended March 31, 2021, other income, net includes a gain from the change in fair value of our interest rate swap of $13,661. We exclude these charges because they are not reflective of ongoing business and results of operations. We believe it is useful for investors to understand the effects of these items on our total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Key Factors Impacting Comparability and Performance: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Highlights for the three months ended March 31, 2022</w:t>
      </w:r>
      <w:r>
        <w:rPr>
          <w:rFonts w:ascii="Arial" w:cs="Arial" w:eastAsia="Arial" w:hAnsi="Arial"/>
          <w:sz w:val="18"/>
          <w:szCs w:val="18"/>
          <w:color w:val="auto"/>
        </w:rPr>
        <w:t>. In addition to our performance previously discussed in “—Key Business Metrics” and “—Non-GAAP Financial Measures,” and as discussed further below in “—Results of Operations” and “—Liquidity and Capital Resources,” our consolidated financial statements for the three months ended March 31, 2022 were impacted by our January 31, 2022 platform acquisition of Power Line Systems for $695,968 in cash, net of cash acquired. For the three months ended March 31, 2022, we incurred $9,773 of expenses related to the acquisition of Power Line Systems.</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Acquisitions. </w:t>
      </w:r>
      <w:r>
        <w:rPr>
          <w:rFonts w:ascii="Arial" w:cs="Arial" w:eastAsia="Arial" w:hAnsi="Arial"/>
          <w:sz w:val="17"/>
          <w:szCs w:val="17"/>
          <w:color w:val="auto"/>
        </w:rPr>
        <w:t>Historically, we have enhanced our business with acquisitions of businesses, software solutions, and technologies. Going forward, we plan to</w:t>
      </w:r>
      <w:r>
        <w:rPr>
          <w:rFonts w:ascii="Arial" w:cs="Arial" w:eastAsia="Arial" w:hAnsi="Arial"/>
          <w:sz w:val="17"/>
          <w:szCs w:val="17"/>
          <w:i w:val="1"/>
          <w:iCs w:val="1"/>
          <w:color w:val="auto"/>
        </w:rPr>
        <w:t xml:space="preserve"> </w:t>
      </w:r>
      <w:r>
        <w:rPr>
          <w:rFonts w:ascii="Arial" w:cs="Arial" w:eastAsia="Arial" w:hAnsi="Arial"/>
          <w:sz w:val="17"/>
          <w:szCs w:val="17"/>
          <w:color w:val="auto"/>
        </w:rPr>
        <w:t>selectively acquire adjacent software solutions that can be sold broadly across our account base, as well as to acquire new technologies that we can leverage across our existing software solution portfolio. We completed one and three acquisitions for the three months ended March 31, 2022 and 2021, respectively. Our three months ended March 31, 2022 consolidated financial statements were meaningfully impacted by our platform acquisitions of Power Line Systems described above, and Seequent, which was completed on June 17, 2021.</w:t>
      </w:r>
    </w:p>
    <w:p>
      <w:pPr>
        <w:spacing w:after="0" w:line="1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Impact of foreign currency</w:t>
      </w:r>
      <w:r>
        <w:rPr>
          <w:rFonts w:ascii="Arial" w:cs="Arial" w:eastAsia="Arial" w:hAnsi="Arial"/>
          <w:sz w:val="16"/>
          <w:szCs w:val="16"/>
          <w:color w:val="auto"/>
        </w:rPr>
        <w:t>. A portion of our total revenues and operating expenses were derived from outside the U.S. and as such, were denominated in</w:t>
      </w:r>
      <w:r>
        <w:rPr>
          <w:rFonts w:ascii="Arial" w:cs="Arial" w:eastAsia="Arial" w:hAnsi="Arial"/>
          <w:sz w:val="16"/>
          <w:szCs w:val="16"/>
          <w:i w:val="1"/>
          <w:iCs w:val="1"/>
          <w:color w:val="auto"/>
        </w:rPr>
        <w:t xml:space="preserve"> </w:t>
      </w:r>
      <w:r>
        <w:rPr>
          <w:rFonts w:ascii="Arial" w:cs="Arial" w:eastAsia="Arial" w:hAnsi="Arial"/>
          <w:sz w:val="16"/>
          <w:szCs w:val="16"/>
          <w:color w:val="auto"/>
        </w:rPr>
        <w:t>various foreign currencies, including most significantly: Euros, British Pounds, Australian Dollars, Canadian Dollars, Chinese Yuan Renminbi, and New Zealand Dollars. Our financial results are therefore affected by changes in foreign currency rates. In 2021, 47% of our total revenues were denominated in various foreign currencies. Correspondingly, in 2021, 42% of our total operating expenses were denominated in various foreign currencies. Other than the natural hedge attributable to matching revenues and expenses in the same currencies, we do not currently hedge foreign currency exposure. Accordingly, our results of operations have been, and in the future will be, affected by changes in foreign exchange rates.</w:t>
      </w:r>
    </w:p>
    <w:p>
      <w:pPr>
        <w:spacing w:after="0" w:line="164"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We identify the effects of foreign currency on our operations and present constant currency growth rates and fluctuations because we believe exchange rates are an important factor in understanding period</w:t>
      </w:r>
      <w:r>
        <w:rPr>
          <w:rFonts w:ascii="MS PGothic" w:cs="MS PGothic" w:eastAsia="MS PGothic" w:hAnsi="MS PGothic"/>
          <w:sz w:val="18"/>
          <w:szCs w:val="18"/>
          <w:color w:val="auto"/>
        </w:rPr>
        <w:t>‑</w:t>
      </w:r>
      <w:r>
        <w:rPr>
          <w:rFonts w:ascii="Arial" w:cs="Arial" w:eastAsia="Arial" w:hAnsi="Arial"/>
          <w:sz w:val="18"/>
          <w:szCs w:val="18"/>
          <w:color w:val="auto"/>
        </w:rPr>
        <w:t>over</w:t>
      </w:r>
      <w:r>
        <w:rPr>
          <w:rFonts w:ascii="MS PGothic" w:cs="MS PGothic" w:eastAsia="MS PGothic" w:hAnsi="MS PGothic"/>
          <w:sz w:val="18"/>
          <w:szCs w:val="18"/>
          <w:color w:val="auto"/>
        </w:rPr>
        <w:t>‑</w:t>
      </w:r>
      <w:r>
        <w:rPr>
          <w:rFonts w:ascii="Arial" w:cs="Arial" w:eastAsia="Arial" w:hAnsi="Arial"/>
          <w:sz w:val="18"/>
          <w:szCs w:val="18"/>
          <w:color w:val="auto"/>
        </w:rPr>
        <w:t>period comparisons and enhance the understanding of our results and evaluation of our performance. In reporting period to period results, we calculate the effects of foreign currency fluctuations and constant currency information by translating current period results using prior period average foreign currency exchange rates. Our definition of constant currency may differ from other companies reporting similarly named measures, and these constant currency performance measures should be viewed in addition to, and not as a substitute for, our operating performance measures calculated in accordance with U.S.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selected consolidated statements of operations data for each of the periods indicated:</w:t>
      </w:r>
    </w:p>
    <w:p>
      <w:pPr>
        <w:spacing w:after="0" w:line="266" w:lineRule="exact"/>
        <w:rPr>
          <w:sz w:val="20"/>
          <w:szCs w:val="20"/>
          <w:color w:val="auto"/>
        </w:rPr>
      </w:pPr>
    </w:p>
    <w:p>
      <w:pPr>
        <w:jc w:val="center"/>
        <w:ind w:left="8060"/>
        <w:spacing w:after="0"/>
        <w:rPr>
          <w:sz w:val="20"/>
          <w:szCs w:val="20"/>
          <w:color w:val="auto"/>
        </w:rPr>
      </w:pPr>
      <w:r>
        <w:rPr>
          <w:rFonts w:ascii="Arial" w:cs="Arial" w:eastAsia="Arial" w:hAnsi="Arial"/>
          <w:sz w:val="16"/>
          <w:szCs w:val="16"/>
          <w:b w:val="1"/>
          <w:bCs w:val="1"/>
          <w:color w:val="auto"/>
        </w:rPr>
        <w:t>Three Months Ended</w:t>
      </w:r>
    </w:p>
    <w:p>
      <w:pPr>
        <w:spacing w:after="0" w:line="32" w:lineRule="exact"/>
        <w:rPr>
          <w:sz w:val="20"/>
          <w:szCs w:val="20"/>
          <w:color w:val="auto"/>
        </w:rPr>
      </w:pPr>
    </w:p>
    <w:p>
      <w:pPr>
        <w:jc w:val="center"/>
        <w:ind w:left="80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20320</wp:posOffset>
            </wp:positionV>
            <wp:extent cx="200596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26" w:lineRule="exact"/>
        <w:rPr>
          <w:sz w:val="20"/>
          <w:szCs w:val="20"/>
          <w:color w:val="auto"/>
        </w:rPr>
      </w:pPr>
    </w:p>
    <w:p>
      <w:pPr>
        <w:jc w:val="both"/>
        <w:ind w:left="8640"/>
        <w:spacing w:after="0"/>
        <w:tabs>
          <w:tab w:leader="none" w:pos="10320" w:val="left"/>
        </w:tabs>
        <w:rPr>
          <w:sz w:val="20"/>
          <w:szCs w:val="20"/>
          <w:color w:val="auto"/>
        </w:rPr>
      </w:pPr>
      <w:r>
        <w:rPr>
          <w:rFonts w:ascii="Arial" w:cs="Arial" w:eastAsia="Arial" w:hAnsi="Arial"/>
          <w:sz w:val="16"/>
          <w:szCs w:val="16"/>
          <w:b w:val="1"/>
          <w:bCs w:val="1"/>
          <w:color w:val="auto"/>
        </w:rPr>
        <w:t>2022</w:t>
      </w:r>
      <w:r>
        <w:rPr>
          <w:sz w:val="20"/>
          <w:szCs w:val="20"/>
          <w:color w:val="auto"/>
        </w:rPr>
        <w:tab/>
      </w:r>
      <w:r>
        <w:rPr>
          <w:rFonts w:ascii="Arial" w:cs="Arial" w:eastAsia="Arial" w:hAnsi="Arial"/>
          <w:sz w:val="16"/>
          <w:szCs w:val="16"/>
          <w:b w:val="1"/>
          <w:bCs w:val="1"/>
          <w:color w:val="auto"/>
        </w:rPr>
        <w:t>2021</w:t>
      </w:r>
    </w:p>
    <w:p>
      <w:pPr>
        <w:sectPr>
          <w:pgSz w:w="11900" w:h="16838" w:orient="portrait"/>
          <w:cols w:equalWidth="0" w:num="1">
            <w:col w:w="11240"/>
          </w:cols>
          <w:pgMar w:left="320" w:top="1417" w:right="339" w:bottom="1440" w:gutter="0" w:footer="0" w:header="0"/>
        </w:sectPr>
      </w:pP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Revenues:</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Subscriptions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Perpetual licenses</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Subscriptions and licenses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Services</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revenues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Cost of revenues:</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Cost of subscriptions and licenses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Cost of services</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241,233</w:t>
            </w:r>
          </w:p>
        </w:tc>
        <w:tc>
          <w:tcPr>
            <w:tcW w:w="24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188,125</w:t>
            </w:r>
          </w:p>
        </w:tc>
      </w:tr>
      <w:tr>
        <w:trPr>
          <w:trHeight w:val="270"/>
        </w:trPr>
        <w:tc>
          <w:tcPr>
            <w:tcW w:w="4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10,205</w:t>
            </w:r>
          </w:p>
        </w:tc>
        <w:tc>
          <w:tcPr>
            <w:tcW w:w="24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10,116</w:t>
            </w:r>
          </w:p>
        </w:tc>
      </w:tr>
      <w:tr>
        <w:trPr>
          <w:trHeight w:val="250"/>
        </w:trPr>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251,438</w:t>
            </w: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198,241</w:t>
            </w:r>
          </w:p>
        </w:tc>
      </w:tr>
      <w:tr>
        <w:trPr>
          <w:trHeight w:val="270"/>
        </w:trPr>
        <w:tc>
          <w:tcPr>
            <w:tcW w:w="4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24,079</w:t>
            </w:r>
          </w:p>
        </w:tc>
        <w:tc>
          <w:tcPr>
            <w:tcW w:w="24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23,764</w:t>
            </w:r>
          </w:p>
        </w:tc>
      </w:tr>
      <w:tr>
        <w:trPr>
          <w:trHeight w:val="250"/>
        </w:trPr>
        <w:tc>
          <w:tcPr>
            <w:tcW w:w="4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275,517</w:t>
            </w:r>
          </w:p>
        </w:tc>
        <w:tc>
          <w:tcPr>
            <w:tcW w:w="24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222,005</w:t>
            </w:r>
          </w:p>
        </w:tc>
      </w:tr>
      <w:tr>
        <w:trPr>
          <w:trHeight w:val="479"/>
        </w:trPr>
        <w:tc>
          <w:tcPr>
            <w:tcW w:w="4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33,727</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28,945</w:t>
            </w:r>
          </w:p>
        </w:tc>
      </w:tr>
      <w:tr>
        <w:trPr>
          <w:trHeight w:val="270"/>
        </w:trPr>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22,058</w:t>
            </w: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20,344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-1173480</wp:posOffset>
            </wp:positionV>
            <wp:extent cx="713232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-830580</wp:posOffset>
            </wp:positionV>
            <wp:extent cx="713232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-487680</wp:posOffset>
            </wp:positionV>
            <wp:extent cx="7132320" cy="1454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-170815</wp:posOffset>
            </wp:positionV>
            <wp:extent cx="713232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-1490980</wp:posOffset>
            </wp:positionV>
            <wp:extent cx="7132320" cy="146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7360" w:space="720"/>
            <w:col w:w="3160"/>
          </w:cols>
          <w:pgMar w:left="320" w:top="1417" w:right="3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8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cost of revenues</w:t>
            </w:r>
          </w:p>
        </w:tc>
        <w:tc>
          <w:tcPr>
            <w:tcW w:w="3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55,785</w:t>
            </w:r>
          </w:p>
        </w:tc>
        <w:tc>
          <w:tcPr>
            <w:tcW w:w="24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49,289</w:t>
            </w:r>
          </w:p>
        </w:tc>
        <w:tc>
          <w:tcPr>
            <w:tcW w:w="0" w:type="dxa"/>
            <w:vAlign w:val="bottom"/>
          </w:tcPr>
          <w:p>
            <w:pPr>
              <w:spacing w:after="0"/>
              <w:rPr>
                <w:sz w:val="1"/>
                <w:szCs w:val="1"/>
                <w:color w:val="auto"/>
              </w:rPr>
            </w:pPr>
          </w:p>
        </w:tc>
      </w:tr>
      <w:tr>
        <w:trPr>
          <w:trHeight w:val="250"/>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219,732</w:t>
            </w:r>
          </w:p>
        </w:tc>
        <w:tc>
          <w:tcPr>
            <w:tcW w:w="24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172,716</w:t>
            </w:r>
          </w:p>
        </w:tc>
        <w:tc>
          <w:tcPr>
            <w:tcW w:w="0" w:type="dxa"/>
            <w:vAlign w:val="bottom"/>
          </w:tcPr>
          <w:p>
            <w:pPr>
              <w:spacing w:after="0"/>
              <w:rPr>
                <w:sz w:val="1"/>
                <w:szCs w:val="1"/>
                <w:color w:val="auto"/>
              </w:rPr>
            </w:pPr>
          </w:p>
        </w:tc>
      </w:tr>
      <w:tr>
        <w:trPr>
          <w:trHeight w:val="209"/>
        </w:trPr>
        <w:tc>
          <w:tcPr>
            <w:tcW w:w="8080" w:type="dxa"/>
            <w:vAlign w:val="bottom"/>
          </w:tcPr>
          <w:p>
            <w:pPr>
              <w:ind w:left="20"/>
              <w:spacing w:after="0"/>
              <w:rPr>
                <w:sz w:val="20"/>
                <w:szCs w:val="20"/>
                <w:color w:val="auto"/>
              </w:rPr>
            </w:pPr>
            <w:r>
              <w:rPr>
                <w:rFonts w:ascii="Arial" w:cs="Arial" w:eastAsia="Arial" w:hAnsi="Arial"/>
                <w:sz w:val="18"/>
                <w:szCs w:val="18"/>
                <w:color w:val="auto"/>
              </w:rPr>
              <w:t>Operating expense (income):</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61,273</w:t>
            </w:r>
          </w:p>
        </w:tc>
        <w:tc>
          <w:tcPr>
            <w:tcW w:w="2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47,803</w:t>
            </w:r>
          </w:p>
        </w:tc>
        <w:tc>
          <w:tcPr>
            <w:tcW w:w="0" w:type="dxa"/>
            <w:vAlign w:val="bottom"/>
          </w:tcPr>
          <w:p>
            <w:pPr>
              <w:spacing w:after="0"/>
              <w:rPr>
                <w:sz w:val="1"/>
                <w:szCs w:val="1"/>
                <w:color w:val="auto"/>
              </w:rPr>
            </w:pPr>
          </w:p>
        </w:tc>
      </w:tr>
      <w:tr>
        <w:trPr>
          <w:trHeight w:val="270"/>
        </w:trPr>
        <w:tc>
          <w:tcPr>
            <w:tcW w:w="808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45,945</w:t>
            </w: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32,440</w:t>
            </w:r>
          </w:p>
        </w:tc>
        <w:tc>
          <w:tcPr>
            <w:tcW w:w="0" w:type="dxa"/>
            <w:vAlign w:val="bottom"/>
          </w:tcPr>
          <w:p>
            <w:pPr>
              <w:spacing w:after="0"/>
              <w:rPr>
                <w:sz w:val="1"/>
                <w:szCs w:val="1"/>
                <w:color w:val="auto"/>
              </w:rPr>
            </w:pPr>
          </w:p>
        </w:tc>
      </w:tr>
      <w:tr>
        <w:trPr>
          <w:trHeight w:val="270"/>
        </w:trPr>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51,154</w:t>
            </w:r>
          </w:p>
        </w:tc>
        <w:tc>
          <w:tcPr>
            <w:tcW w:w="2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33,221</w:t>
            </w:r>
          </w:p>
        </w:tc>
        <w:tc>
          <w:tcPr>
            <w:tcW w:w="0" w:type="dxa"/>
            <w:vAlign w:val="bottom"/>
          </w:tcPr>
          <w:p>
            <w:pPr>
              <w:spacing w:after="0"/>
              <w:rPr>
                <w:sz w:val="1"/>
                <w:szCs w:val="1"/>
                <w:color w:val="auto"/>
              </w:rPr>
            </w:pPr>
          </w:p>
        </w:tc>
      </w:tr>
      <w:tr>
        <w:trPr>
          <w:trHeight w:val="270"/>
        </w:trPr>
        <w:tc>
          <w:tcPr>
            <w:tcW w:w="8080" w:type="dxa"/>
            <w:vAlign w:val="bottom"/>
          </w:tcPr>
          <w:p>
            <w:pPr>
              <w:ind w:left="180"/>
              <w:spacing w:after="0"/>
              <w:rPr>
                <w:sz w:val="20"/>
                <w:szCs w:val="20"/>
                <w:color w:val="auto"/>
              </w:rPr>
            </w:pPr>
            <w:r>
              <w:rPr>
                <w:rFonts w:ascii="Arial" w:cs="Arial" w:eastAsia="Arial" w:hAnsi="Arial"/>
                <w:sz w:val="18"/>
                <w:szCs w:val="18"/>
                <w:color w:val="auto"/>
              </w:rPr>
              <w:t>Deferred compensation plan</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(5,138)</w:t>
            </w: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0"/>
        </w:trPr>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purchased intangibles</w:t>
            </w: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9,906</w:t>
            </w:r>
          </w:p>
        </w:tc>
        <w:tc>
          <w:tcPr>
            <w:tcW w:w="2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3,438</w:t>
            </w:r>
          </w:p>
        </w:tc>
        <w:tc>
          <w:tcPr>
            <w:tcW w:w="0" w:type="dxa"/>
            <w:vAlign w:val="bottom"/>
          </w:tcPr>
          <w:p>
            <w:pPr>
              <w:spacing w:after="0"/>
              <w:rPr>
                <w:sz w:val="1"/>
                <w:szCs w:val="1"/>
                <w:color w:val="auto"/>
              </w:rPr>
            </w:pPr>
          </w:p>
        </w:tc>
      </w:tr>
      <w:tr>
        <w:trPr>
          <w:trHeight w:val="250"/>
        </w:trPr>
        <w:tc>
          <w:tcPr>
            <w:tcW w:w="8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163,140</w:t>
            </w:r>
          </w:p>
        </w:tc>
        <w:tc>
          <w:tcPr>
            <w:tcW w:w="2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117,069</w:t>
            </w:r>
          </w:p>
        </w:tc>
        <w:tc>
          <w:tcPr>
            <w:tcW w:w="0" w:type="dxa"/>
            <w:vAlign w:val="bottom"/>
          </w:tcPr>
          <w:p>
            <w:pPr>
              <w:spacing w:after="0"/>
              <w:rPr>
                <w:sz w:val="1"/>
                <w:szCs w:val="1"/>
                <w:color w:val="auto"/>
              </w:rPr>
            </w:pPr>
          </w:p>
        </w:tc>
      </w:tr>
      <w:tr>
        <w:trPr>
          <w:trHeight w:val="250"/>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from operations</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56,592</w:t>
            </w:r>
          </w:p>
        </w:tc>
        <w:tc>
          <w:tcPr>
            <w:tcW w:w="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55,647</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(7,042)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(2,319)</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10,641</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14,482</w:t>
            </w:r>
          </w:p>
        </w:tc>
        <w:tc>
          <w:tcPr>
            <w:tcW w:w="0" w:type="dxa"/>
            <w:vAlign w:val="bottom"/>
          </w:tcPr>
          <w:p>
            <w:pPr>
              <w:spacing w:after="0"/>
              <w:rPr>
                <w:sz w:val="1"/>
                <w:szCs w:val="1"/>
                <w:color w:val="auto"/>
              </w:rPr>
            </w:pPr>
          </w:p>
        </w:tc>
      </w:tr>
      <w:tr>
        <w:trPr>
          <w:trHeight w:val="250"/>
        </w:trPr>
        <w:tc>
          <w:tcPr>
            <w:tcW w:w="8080" w:type="dxa"/>
            <w:vAlign w:val="bottom"/>
          </w:tcPr>
          <w:p>
            <w:pPr>
              <w:ind w:left="360"/>
              <w:spacing w:after="0"/>
              <w:rPr>
                <w:sz w:val="20"/>
                <w:szCs w:val="20"/>
                <w:color w:val="auto"/>
              </w:rPr>
            </w:pPr>
            <w:r>
              <w:rPr>
                <w:rFonts w:ascii="Arial" w:cs="Arial" w:eastAsia="Arial" w:hAnsi="Arial"/>
                <w:sz w:val="18"/>
                <w:szCs w:val="18"/>
                <w:color w:val="auto"/>
              </w:rPr>
              <w:t>Income before income taxes</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60,191</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67,810</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(3,231)</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(10,358)</w:t>
            </w:r>
          </w:p>
        </w:tc>
        <w:tc>
          <w:tcPr>
            <w:tcW w:w="0" w:type="dxa"/>
            <w:vAlign w:val="bottom"/>
          </w:tcPr>
          <w:p>
            <w:pPr>
              <w:spacing w:after="0"/>
              <w:rPr>
                <w:sz w:val="1"/>
                <w:szCs w:val="1"/>
                <w:color w:val="auto"/>
              </w:rPr>
            </w:pPr>
          </w:p>
        </w:tc>
      </w:tr>
      <w:tr>
        <w:trPr>
          <w:trHeight w:val="270"/>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from investment accounted for using the equity method, net of tax</w:t>
            </w:r>
          </w:p>
        </w:tc>
        <w:tc>
          <w:tcPr>
            <w:tcW w:w="3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24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50"/>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56,388</w:t>
            </w:r>
          </w:p>
        </w:tc>
        <w:tc>
          <w:tcPr>
            <w:tcW w:w="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57,006</w:t>
            </w:r>
          </w:p>
        </w:tc>
        <w:tc>
          <w:tcPr>
            <w:tcW w:w="0" w:type="dxa"/>
            <w:vAlign w:val="bottom"/>
          </w:tcPr>
          <w:p>
            <w:pPr>
              <w:spacing w:after="0"/>
              <w:rPr>
                <w:sz w:val="1"/>
                <w:szCs w:val="1"/>
                <w:color w:val="auto"/>
              </w:rPr>
            </w:pPr>
          </w:p>
        </w:tc>
      </w:tr>
      <w:tr>
        <w:trPr>
          <w:trHeight w:val="270"/>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income attributable to participating securities</w:t>
            </w:r>
          </w:p>
        </w:tc>
        <w:tc>
          <w:tcPr>
            <w:tcW w:w="3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 attributable to Class A and Class B common stockholders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56,379</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57,006</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Per share information: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8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per share, basic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Net income per share, diluted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08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0.18</w:t>
            </w:r>
          </w:p>
        </w:tc>
        <w:tc>
          <w:tcPr>
            <w:tcW w:w="24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shares, basic</w:t>
            </w: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307,969,672</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302,583,452</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Weighted average shares, diluted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80" w:type="dxa"/>
            <w:vAlign w:val="bottom"/>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331,330,256</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321,736,649</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50" w:name="page51"/>
    <w:bookmarkEnd w:id="50"/>
    <w:p>
      <w:pPr>
        <w:jc w:val="both"/>
        <w:spacing w:after="0" w:line="220" w:lineRule="exact"/>
        <w:rPr>
          <w:sz w:val="20"/>
          <w:szCs w:val="20"/>
          <w:color w:val="auto"/>
        </w:rPr>
      </w:pPr>
      <w:r>
        <w:rPr>
          <w:rFonts w:ascii="Arial" w:cs="Arial" w:eastAsia="Arial" w:hAnsi="Arial"/>
          <w:sz w:val="18"/>
          <w:szCs w:val="18"/>
          <w:color w:val="auto"/>
        </w:rPr>
        <w:t>In reporting period</w:t>
      </w:r>
      <w:r>
        <w:rPr>
          <w:rFonts w:ascii="MS PGothic" w:cs="MS PGothic" w:eastAsia="MS PGothic" w:hAnsi="MS PGothic"/>
          <w:sz w:val="18"/>
          <w:szCs w:val="18"/>
          <w:color w:val="auto"/>
        </w:rPr>
        <w:t>‑</w:t>
      </w:r>
      <w:r>
        <w:rPr>
          <w:rFonts w:ascii="Arial" w:cs="Arial" w:eastAsia="Arial" w:hAnsi="Arial"/>
          <w:sz w:val="18"/>
          <w:szCs w:val="18"/>
          <w:color w:val="auto"/>
        </w:rPr>
        <w:t>over</w:t>
      </w:r>
      <w:r>
        <w:rPr>
          <w:rFonts w:ascii="MS PGothic" w:cs="MS PGothic" w:eastAsia="MS PGothic" w:hAnsi="MS PGothic"/>
          <w:sz w:val="18"/>
          <w:szCs w:val="18"/>
          <w:color w:val="auto"/>
        </w:rPr>
        <w:t>‑</w:t>
      </w:r>
      <w:r>
        <w:rPr>
          <w:rFonts w:ascii="Arial" w:cs="Arial" w:eastAsia="Arial" w:hAnsi="Arial"/>
          <w:sz w:val="18"/>
          <w:szCs w:val="18"/>
          <w:color w:val="auto"/>
        </w:rPr>
        <w:t>period results, we calculate the effects of foreign currency fluctuations and constant currency information by translating current period results using prior period average foreign currency exchange rates. Our definition of constant currency may differ from other companies reporting similarly named measures, and these constant currency performance measures should be viewed in addition to, and not as a substitute for, our operating performance measures calculated in accordance with U.S. GAAP.</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2022 and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Comparison</w:t>
            </w:r>
          </w:p>
        </w:tc>
        <w:tc>
          <w:tcPr>
            <w:tcW w:w="1160" w:type="dxa"/>
            <w:vAlign w:val="bottom"/>
            <w:tcBorders>
              <w:bottom w:val="single" w:sz="8" w:color="auto"/>
            </w:tcBorders>
          </w:tcPr>
          <w:p>
            <w:pPr>
              <w:spacing w:after="0"/>
              <w:rPr>
                <w:sz w:val="18"/>
                <w:szCs w:val="18"/>
                <w:color w:val="auto"/>
              </w:rPr>
            </w:pPr>
          </w:p>
        </w:tc>
      </w:tr>
      <w:tr>
        <w:trPr>
          <w:trHeight w:val="210"/>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2"/>
              </w:rPr>
              <w:t>Constant</w:t>
            </w:r>
          </w:p>
        </w:tc>
      </w:tr>
      <w:tr>
        <w:trPr>
          <w:trHeight w:val="216"/>
        </w:trPr>
        <w:tc>
          <w:tcPr>
            <w:tcW w:w="4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6"/>
                <w:szCs w:val="16"/>
                <w:b w:val="1"/>
                <w:bCs w:val="1"/>
                <w:color w:val="auto"/>
              </w:rPr>
              <w:t>March 31,</w:t>
            </w:r>
          </w:p>
        </w:tc>
        <w:tc>
          <w:tcPr>
            <w:tcW w:w="10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6"/>
              </w:rPr>
              <w:t>Currency</w:t>
            </w:r>
          </w:p>
        </w:tc>
      </w:tr>
      <w:tr>
        <w:trPr>
          <w:trHeight w:val="213"/>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3"/>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452"/>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6"/>
                <w:szCs w:val="16"/>
                <w:b w:val="1"/>
                <w:bCs w:val="1"/>
                <w:color w:val="auto"/>
              </w:rPr>
              <w:t>Amount</w:t>
            </w:r>
          </w:p>
        </w:tc>
        <w:tc>
          <w:tcPr>
            <w:tcW w:w="1300" w:type="dxa"/>
            <w:vAlign w:val="bottom"/>
            <w:gridSpan w:val="2"/>
          </w:tcPr>
          <w:p>
            <w:pPr>
              <w:jc w:val="right"/>
              <w:ind w:right="415"/>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w:t>
            </w:r>
          </w:p>
        </w:tc>
      </w:tr>
      <w:tr>
        <w:trPr>
          <w:trHeight w:val="226"/>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Subscriptions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241,233</w:t>
            </w:r>
          </w:p>
        </w:tc>
        <w:tc>
          <w:tcPr>
            <w:tcW w:w="1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188,125</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53,108</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28.2 %</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32.0 %</w:t>
            </w:r>
          </w:p>
        </w:tc>
      </w:tr>
      <w:tr>
        <w:trPr>
          <w:trHeight w:val="229"/>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Perpetual licenses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10,205</w:t>
            </w: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10,116</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0.9 %</w:t>
            </w:r>
          </w:p>
        </w:tc>
        <w:tc>
          <w:tcPr>
            <w:tcW w:w="1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5.9 %</w:t>
            </w:r>
          </w:p>
        </w:tc>
      </w:tr>
      <w:tr>
        <w:trPr>
          <w:trHeight w:val="250"/>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Subscriptions and licenses</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251,438</w:t>
            </w:r>
          </w:p>
        </w:tc>
        <w:tc>
          <w:tcPr>
            <w:tcW w:w="1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198,241</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53,197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26.8 %</w:t>
            </w: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30.7 %</w:t>
            </w:r>
          </w:p>
        </w:tc>
      </w:tr>
      <w:tr>
        <w:trPr>
          <w:trHeight w:val="229"/>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Services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24,079</w:t>
            </w: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23,764</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1.3 %</w:t>
            </w:r>
          </w:p>
        </w:tc>
        <w:tc>
          <w:tcPr>
            <w:tcW w:w="1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2.8 %</w:t>
            </w:r>
          </w:p>
        </w:tc>
      </w:tr>
      <w:tr>
        <w:trPr>
          <w:trHeight w:val="248"/>
        </w:trPr>
        <w:tc>
          <w:tcPr>
            <w:tcW w:w="4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275,517</w:t>
            </w:r>
          </w:p>
        </w:tc>
        <w:tc>
          <w:tcPr>
            <w:tcW w:w="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222,005</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53,512</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24.1 %</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27.7 %</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total revenues was primarily driven by the impact from acquisitions in subscriptions revenues and improvements in our business performance, partially offset by the overall negative foreign currency effects due to a stronger U.S. Dollar relative to our other functional currencies. We define business performance as our organic growth results inclusive of the impact from certain programmatic acquisitions, which generally are immaterial, individually and in the aggregate.</w:t>
      </w:r>
    </w:p>
    <w:p>
      <w:pPr>
        <w:spacing w:after="0" w:line="133" w:lineRule="exact"/>
        <w:rPr>
          <w:sz w:val="20"/>
          <w:szCs w:val="20"/>
          <w:color w:val="auto"/>
        </w:rPr>
      </w:pPr>
    </w:p>
    <w:p>
      <w:pPr>
        <w:ind w:left="820" w:right="20" w:hanging="245"/>
        <w:spacing w:after="0" w:line="277" w:lineRule="auto"/>
        <w:tabs>
          <w:tab w:leader="none" w:pos="815"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Subscriptions</w:t>
      </w:r>
      <w:r>
        <w:rPr>
          <w:rFonts w:ascii="Arial" w:cs="Arial" w:eastAsia="Arial" w:hAnsi="Arial"/>
          <w:sz w:val="18"/>
          <w:szCs w:val="18"/>
          <w:color w:val="auto"/>
        </w:rPr>
        <w:t>. On a constant currency basis, the increase in subscriptions revenues was driven primarily by the impact from acquisitions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$42,700 and improvements in our business performance of approximately $17,500.</w:t>
      </w:r>
    </w:p>
    <w:p>
      <w:pPr>
        <w:spacing w:after="0" w:line="170" w:lineRule="exact"/>
        <w:rPr>
          <w:rFonts w:ascii="Arial" w:cs="Arial" w:eastAsia="Arial" w:hAnsi="Arial"/>
          <w:sz w:val="18"/>
          <w:szCs w:val="18"/>
          <w:i w:val="1"/>
          <w:iCs w:val="1"/>
          <w:color w:val="auto"/>
        </w:rPr>
      </w:pPr>
    </w:p>
    <w:p>
      <w:pPr>
        <w:jc w:val="both"/>
        <w:ind w:left="820"/>
        <w:spacing w:after="0" w:line="279" w:lineRule="auto"/>
        <w:rPr>
          <w:rFonts w:ascii="Arial" w:cs="Arial" w:eastAsia="Arial" w:hAnsi="Arial"/>
          <w:sz w:val="18"/>
          <w:szCs w:val="18"/>
          <w:i w:val="1"/>
          <w:iCs w:val="1"/>
          <w:color w:val="auto"/>
        </w:rPr>
      </w:pPr>
      <w:r>
        <w:rPr>
          <w:rFonts w:ascii="Arial" w:cs="Arial" w:eastAsia="Arial" w:hAnsi="Arial"/>
          <w:sz w:val="17"/>
          <w:szCs w:val="17"/>
          <w:color w:val="auto"/>
        </w:rPr>
        <w:t xml:space="preserve">The acquisition impact was due to our platform acquisitions of Seequent and Power Line Systems and includes organic growth within their existing accounts. The increase in business performance was driven by expansion within our existing accounts, and growth of 3% attributable to new accounts exclusive of acquisitions, most notability smaller- and medium-sized accounts. Improvements in business performance for the three months ended March 31, 2022 were led by our civil design, </w:t>
      </w:r>
      <w:r>
        <w:rPr>
          <w:rFonts w:ascii="Arial" w:cs="Arial" w:eastAsia="Arial" w:hAnsi="Arial"/>
          <w:sz w:val="17"/>
          <w:szCs w:val="17"/>
          <w:i w:val="1"/>
          <w:iCs w:val="1"/>
          <w:color w:val="auto"/>
        </w:rPr>
        <w:t>SYNCHRO</w:t>
      </w:r>
      <w:r>
        <w:rPr>
          <w:rFonts w:ascii="Arial" w:cs="Arial" w:eastAsia="Arial" w:hAnsi="Arial"/>
          <w:sz w:val="17"/>
          <w:szCs w:val="17"/>
          <w:color w:val="auto"/>
        </w:rPr>
        <w:t>, and geoprofessional products.</w:t>
      </w:r>
    </w:p>
    <w:p>
      <w:pPr>
        <w:spacing w:after="0" w:line="171" w:lineRule="exact"/>
        <w:rPr>
          <w:rFonts w:ascii="Arial" w:cs="Arial" w:eastAsia="Arial" w:hAnsi="Arial"/>
          <w:sz w:val="18"/>
          <w:szCs w:val="18"/>
          <w:i w:val="1"/>
          <w:iCs w:val="1"/>
          <w:color w:val="auto"/>
        </w:rPr>
      </w:pPr>
    </w:p>
    <w:p>
      <w:pPr>
        <w:ind w:left="820" w:hanging="245"/>
        <w:spacing w:after="0" w:line="308" w:lineRule="auto"/>
        <w:tabs>
          <w:tab w:leader="none" w:pos="815" w:val="left"/>
        </w:tabs>
        <w:numPr>
          <w:ilvl w:val="0"/>
          <w:numId w:val="21"/>
        </w:numPr>
        <w:rPr>
          <w:rFonts w:ascii="Arial" w:cs="Arial" w:eastAsia="Arial" w:hAnsi="Arial"/>
          <w:sz w:val="17"/>
          <w:szCs w:val="17"/>
          <w:i w:val="1"/>
          <w:iCs w:val="1"/>
          <w:color w:val="auto"/>
        </w:rPr>
      </w:pPr>
      <w:r>
        <w:rPr>
          <w:rFonts w:ascii="Arial" w:cs="Arial" w:eastAsia="Arial" w:hAnsi="Arial"/>
          <w:sz w:val="17"/>
          <w:szCs w:val="17"/>
          <w:i w:val="1"/>
          <w:iCs w:val="1"/>
          <w:color w:val="auto"/>
        </w:rPr>
        <w:t>Perpetual licenses</w:t>
      </w:r>
      <w:r>
        <w:rPr>
          <w:rFonts w:ascii="Arial" w:cs="Arial" w:eastAsia="Arial" w:hAnsi="Arial"/>
          <w:sz w:val="17"/>
          <w:szCs w:val="17"/>
          <w:color w:val="auto"/>
        </w:rPr>
        <w:t>. On a constant currency basis, the increase in perpetual licenses revenues was driven primarily by the impact from our</w:t>
      </w:r>
      <w:r>
        <w:rPr>
          <w:rFonts w:ascii="Arial" w:cs="Arial" w:eastAsia="Arial" w:hAnsi="Arial"/>
          <w:sz w:val="17"/>
          <w:szCs w:val="17"/>
          <w:i w:val="1"/>
          <w:iCs w:val="1"/>
          <w:color w:val="auto"/>
        </w:rPr>
        <w:t xml:space="preserve"> </w:t>
      </w:r>
      <w:r>
        <w:rPr>
          <w:rFonts w:ascii="Arial" w:cs="Arial" w:eastAsia="Arial" w:hAnsi="Arial"/>
          <w:sz w:val="17"/>
          <w:szCs w:val="17"/>
          <w:color w:val="auto"/>
        </w:rPr>
        <w:t>Seequent platform acquisition of approximately $1,000, partially offset by a reduction in our business performance of approximately $400.</w:t>
      </w:r>
    </w:p>
    <w:p>
      <w:pPr>
        <w:spacing w:after="0" w:line="146" w:lineRule="exact"/>
        <w:rPr>
          <w:rFonts w:ascii="Arial" w:cs="Arial" w:eastAsia="Arial" w:hAnsi="Arial"/>
          <w:sz w:val="17"/>
          <w:szCs w:val="17"/>
          <w:i w:val="1"/>
          <w:iCs w:val="1"/>
          <w:color w:val="auto"/>
        </w:rPr>
      </w:pPr>
    </w:p>
    <w:p>
      <w:pPr>
        <w:jc w:val="both"/>
        <w:ind w:left="820" w:hanging="245"/>
        <w:spacing w:after="0" w:line="275" w:lineRule="auto"/>
        <w:tabs>
          <w:tab w:leader="none" w:pos="815" w:val="left"/>
        </w:tabs>
        <w:numPr>
          <w:ilvl w:val="0"/>
          <w:numId w:val="2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Services. </w:t>
      </w:r>
      <w:r>
        <w:rPr>
          <w:rFonts w:ascii="Arial" w:cs="Arial" w:eastAsia="Arial" w:hAnsi="Arial"/>
          <w:sz w:val="17"/>
          <w:szCs w:val="17"/>
          <w:color w:val="auto"/>
        </w:rPr>
        <w:t>On a constant currency basis, services revenues increased approximately $700 driven primarily by favorable contributions of</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$3,200 from Maximo Ontracks digital integrator services in Americas, and to a lesser extent, from growth in our Asset Performance digital integrator services, partially offset by reductions from project and contracting delays primarily related to acquisition integrations, the effect of ongoing transition of historically classified services revenues into subscriptions revenues for accounts converting to our E365 subscription offering with embedded Success Services, and declines in Maximo digital integrator services in Europe.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color w:val="auto"/>
        </w:rPr>
        <w:t>Revenues by Geographic Area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Revenues are allocated to individual countries based upon the location of users. Revenues by geographic area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Comparison</w:t>
            </w:r>
          </w:p>
        </w:tc>
        <w:tc>
          <w:tcPr>
            <w:tcW w:w="1160" w:type="dxa"/>
            <w:vAlign w:val="bottom"/>
            <w:tcBorders>
              <w:bottom w:val="single" w:sz="8" w:color="auto"/>
            </w:tcBorders>
          </w:tcPr>
          <w:p>
            <w:pPr>
              <w:spacing w:after="0"/>
              <w:rPr>
                <w:sz w:val="18"/>
                <w:szCs w:val="18"/>
                <w:color w:val="auto"/>
              </w:rPr>
            </w:pPr>
          </w:p>
        </w:tc>
      </w:tr>
      <w:tr>
        <w:trPr>
          <w:trHeight w:val="210"/>
        </w:trPr>
        <w:tc>
          <w:tcPr>
            <w:tcW w:w="4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5"/>
          </w:tcPr>
          <w:p>
            <w:pPr>
              <w:ind w:left="38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2"/>
              </w:rPr>
              <w:t>Constant</w:t>
            </w:r>
          </w:p>
        </w:tc>
      </w:tr>
      <w:tr>
        <w:trPr>
          <w:trHeight w:val="216"/>
        </w:trPr>
        <w:tc>
          <w:tcPr>
            <w:tcW w:w="4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6"/>
                <w:szCs w:val="16"/>
                <w:b w:val="1"/>
                <w:bCs w:val="1"/>
                <w:color w:val="auto"/>
              </w:rPr>
              <w:t>March 31,</w:t>
            </w:r>
          </w:p>
        </w:tc>
        <w:tc>
          <w:tcPr>
            <w:tcW w:w="9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6"/>
              </w:rPr>
              <w:t>Currency</w:t>
            </w:r>
          </w:p>
        </w:tc>
      </w:tr>
      <w:tr>
        <w:trPr>
          <w:trHeight w:val="213"/>
        </w:trPr>
        <w:tc>
          <w:tcPr>
            <w:tcW w:w="4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34"/>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ind w:right="412"/>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6"/>
                <w:szCs w:val="16"/>
                <w:b w:val="1"/>
                <w:bCs w:val="1"/>
                <w:color w:val="auto"/>
              </w:rPr>
              <w:t>Amount</w:t>
            </w:r>
          </w:p>
        </w:tc>
        <w:tc>
          <w:tcPr>
            <w:tcW w:w="1300" w:type="dxa"/>
            <w:vAlign w:val="bottom"/>
            <w:gridSpan w:val="2"/>
          </w:tcPr>
          <w:p>
            <w:pPr>
              <w:jc w:val="right"/>
              <w:ind w:right="415"/>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w:t>
            </w:r>
          </w:p>
        </w:tc>
      </w:tr>
      <w:tr>
        <w:trPr>
          <w:trHeight w:val="226"/>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154,260</w:t>
            </w:r>
          </w:p>
        </w:tc>
        <w:tc>
          <w:tcPr>
            <w:tcW w:w="1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108,862</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45,398</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41.7 %</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42.5 %</w:t>
            </w: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rPr>
              <w:t>Europe, the Middle East, and Africa (“EMEA”)</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77,480</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73,848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3,632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4.9 %</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11.4 %</w:t>
            </w:r>
          </w:p>
        </w:tc>
      </w:tr>
      <w:tr>
        <w:trPr>
          <w:trHeight w:val="229"/>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Asia-Pacific (“APAC”)</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43,777</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39,295</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11.4 %</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17.0 %</w:t>
            </w:r>
          </w:p>
        </w:tc>
      </w:tr>
      <w:tr>
        <w:trPr>
          <w:trHeight w:val="223"/>
        </w:trPr>
        <w:tc>
          <w:tcPr>
            <w:tcW w:w="4480" w:type="dxa"/>
            <w:vAlign w:val="bottom"/>
          </w:tcPr>
          <w:p>
            <w:pPr>
              <w:ind w:left="180"/>
              <w:spacing w:after="0"/>
              <w:rPr>
                <w:sz w:val="20"/>
                <w:szCs w:val="20"/>
                <w:color w:val="auto"/>
              </w:rPr>
            </w:pPr>
            <w:r>
              <w:rPr>
                <w:rFonts w:ascii="Arial" w:cs="Arial" w:eastAsia="Arial" w:hAnsi="Arial"/>
                <w:sz w:val="18"/>
                <w:szCs w:val="18"/>
                <w:color w:val="auto"/>
              </w:rPr>
              <w:t>Total revenues by geographic area</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275,517</w:t>
            </w:r>
          </w:p>
        </w:tc>
        <w:tc>
          <w:tcPr>
            <w:tcW w:w="14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222,005</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53,512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24.1 %</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27.7 %</w:t>
            </w:r>
          </w:p>
        </w:tc>
      </w:tr>
      <w:tr>
        <w:trPr>
          <w:trHeight w:val="21"/>
        </w:trPr>
        <w:tc>
          <w:tcPr>
            <w:tcW w:w="4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left="820" w:hanging="245"/>
        <w:spacing w:after="0" w:line="259" w:lineRule="auto"/>
        <w:tabs>
          <w:tab w:leader="none" w:pos="815"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Americas. </w:t>
      </w:r>
      <w:r>
        <w:rPr>
          <w:rFonts w:ascii="Arial" w:cs="Arial" w:eastAsia="Arial" w:hAnsi="Arial"/>
          <w:sz w:val="18"/>
          <w:szCs w:val="18"/>
          <w:color w:val="auto"/>
        </w:rPr>
        <w:t>On a constant currency basis, the increase in revenues from the Americas was driven primarily by an increase in subscriptions</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from our Seequent and Power Line Systems platform acquisitions of approximately $29,000 and improvements in our business performance of approximately $16,300. The increase in business performance was primarily due to expansion of our recurring subscriptions revenues from existing accounts in the U.S.</w:t>
      </w:r>
    </w:p>
    <w:p>
      <w:pPr>
        <w:spacing w:after="0" w:line="132" w:lineRule="exact"/>
        <w:rPr>
          <w:rFonts w:ascii="Arial" w:cs="Arial" w:eastAsia="Arial" w:hAnsi="Arial"/>
          <w:sz w:val="18"/>
          <w:szCs w:val="18"/>
          <w:i w:val="1"/>
          <w:iCs w:val="1"/>
          <w:color w:val="auto"/>
        </w:rPr>
      </w:pPr>
    </w:p>
    <w:p>
      <w:pPr>
        <w:jc w:val="both"/>
        <w:ind w:left="820" w:hanging="245"/>
        <w:spacing w:after="0" w:line="263" w:lineRule="auto"/>
        <w:tabs>
          <w:tab w:leader="none" w:pos="815"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EMEA. </w:t>
      </w:r>
      <w:r>
        <w:rPr>
          <w:rFonts w:ascii="Arial" w:cs="Arial" w:eastAsia="Arial" w:hAnsi="Arial"/>
          <w:sz w:val="18"/>
          <w:szCs w:val="18"/>
          <w:color w:val="auto"/>
        </w:rPr>
        <w:t>On a constant currency basis, the increase in revenues from EMEA was driven primarily by an increase in subscriptions revenues from</w:t>
      </w:r>
      <w:r>
        <w:rPr>
          <w:rFonts w:ascii="Arial" w:cs="Arial" w:eastAsia="Arial" w:hAnsi="Arial"/>
          <w:sz w:val="18"/>
          <w:szCs w:val="18"/>
          <w:i w:val="1"/>
          <w:iCs w:val="1"/>
          <w:color w:val="auto"/>
        </w:rPr>
        <w:t xml:space="preserve"> </w:t>
      </w:r>
      <w:r>
        <w:rPr>
          <w:rFonts w:ascii="Arial" w:cs="Arial" w:eastAsia="Arial" w:hAnsi="Arial"/>
          <w:sz w:val="18"/>
          <w:szCs w:val="18"/>
          <w:color w:val="auto"/>
        </w:rPr>
        <w:t>our Seequent platform acquisition of approximately $8,400, partially offset by a reduction in our business performance of approximately $300 primarily driven by a decrease in perpetual licenses and services revenues.</w:t>
      </w:r>
    </w:p>
    <w:p>
      <w:pPr>
        <w:spacing w:after="0" w:line="183" w:lineRule="exact"/>
        <w:rPr>
          <w:rFonts w:ascii="Arial" w:cs="Arial" w:eastAsia="Arial" w:hAnsi="Arial"/>
          <w:sz w:val="18"/>
          <w:szCs w:val="18"/>
          <w:i w:val="1"/>
          <w:iCs w:val="1"/>
          <w:color w:val="auto"/>
        </w:rPr>
      </w:pPr>
    </w:p>
    <w:p>
      <w:pPr>
        <w:jc w:val="both"/>
        <w:ind w:left="820" w:hanging="245"/>
        <w:spacing w:after="0" w:line="259" w:lineRule="auto"/>
        <w:tabs>
          <w:tab w:leader="none" w:pos="815"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APAC. </w:t>
      </w:r>
      <w:r>
        <w:rPr>
          <w:rFonts w:ascii="Arial" w:cs="Arial" w:eastAsia="Arial" w:hAnsi="Arial"/>
          <w:sz w:val="18"/>
          <w:szCs w:val="18"/>
          <w:color w:val="auto"/>
        </w:rPr>
        <w:t>On a constant currency basis, the increase in revenues from APAC was driven primarily by an increase in subscriptions revenues from</w:t>
      </w:r>
      <w:r>
        <w:rPr>
          <w:rFonts w:ascii="Arial" w:cs="Arial" w:eastAsia="Arial" w:hAnsi="Arial"/>
          <w:sz w:val="18"/>
          <w:szCs w:val="18"/>
          <w:i w:val="1"/>
          <w:iCs w:val="1"/>
          <w:color w:val="auto"/>
        </w:rPr>
        <w:t xml:space="preserve"> </w:t>
      </w:r>
      <w:r>
        <w:rPr>
          <w:rFonts w:ascii="Arial" w:cs="Arial" w:eastAsia="Arial" w:hAnsi="Arial"/>
          <w:sz w:val="18"/>
          <w:szCs w:val="18"/>
          <w:color w:val="auto"/>
        </w:rPr>
        <w:t>our Seequent platform acquisition of approximately $5,100 and improvements in our business performance of approximately $1,400. The increase in business performance was primarily due to expansion of our recurring subscriptions revenues from existing accounts in India and Australia.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Comparison</w:t>
            </w:r>
          </w:p>
        </w:tc>
        <w:tc>
          <w:tcPr>
            <w:tcW w:w="1160" w:type="dxa"/>
            <w:vAlign w:val="bottom"/>
            <w:tcBorders>
              <w:bottom w:val="single" w:sz="8" w:color="auto"/>
            </w:tcBorders>
          </w:tcPr>
          <w:p>
            <w:pPr>
              <w:spacing w:after="0"/>
              <w:rPr>
                <w:sz w:val="18"/>
                <w:szCs w:val="18"/>
                <w:color w:val="auto"/>
              </w:rPr>
            </w:pPr>
          </w:p>
        </w:tc>
      </w:tr>
      <w:tr>
        <w:trPr>
          <w:trHeight w:val="210"/>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2"/>
              </w:rPr>
              <w:t>Constant</w:t>
            </w:r>
          </w:p>
        </w:tc>
      </w:tr>
      <w:tr>
        <w:trPr>
          <w:trHeight w:val="216"/>
        </w:trPr>
        <w:tc>
          <w:tcPr>
            <w:tcW w:w="4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6"/>
                <w:szCs w:val="16"/>
                <w:b w:val="1"/>
                <w:bCs w:val="1"/>
                <w:color w:val="auto"/>
              </w:rPr>
              <w:t>March 31,</w:t>
            </w:r>
          </w:p>
        </w:tc>
        <w:tc>
          <w:tcPr>
            <w:tcW w:w="10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6"/>
              </w:rPr>
              <w:t>Currency</w:t>
            </w:r>
          </w:p>
        </w:tc>
      </w:tr>
      <w:tr>
        <w:trPr>
          <w:trHeight w:val="213"/>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5"/>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452"/>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6"/>
                <w:szCs w:val="16"/>
                <w:b w:val="1"/>
                <w:bCs w:val="1"/>
                <w:color w:val="auto"/>
              </w:rPr>
              <w:t>Amount</w:t>
            </w:r>
          </w:p>
        </w:tc>
        <w:tc>
          <w:tcPr>
            <w:tcW w:w="1300" w:type="dxa"/>
            <w:vAlign w:val="bottom"/>
            <w:gridSpan w:val="2"/>
          </w:tcPr>
          <w:p>
            <w:pPr>
              <w:jc w:val="right"/>
              <w:ind w:right="415"/>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w:t>
            </w:r>
          </w:p>
        </w:tc>
      </w:tr>
      <w:tr>
        <w:trPr>
          <w:trHeight w:val="226"/>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subscriptions and licenses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33,727</w:t>
            </w:r>
          </w:p>
        </w:tc>
        <w:tc>
          <w:tcPr>
            <w:tcW w:w="1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28,945</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4,782</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16.5 %</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19.5 %</w:t>
            </w:r>
          </w:p>
        </w:tc>
      </w:tr>
      <w:tr>
        <w:trPr>
          <w:trHeight w:val="230"/>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services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22,058</w:t>
            </w: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20,344</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1,714</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8.4 %</w:t>
            </w:r>
          </w:p>
        </w:tc>
        <w:tc>
          <w:tcPr>
            <w:tcW w:w="1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10.4 %</w:t>
            </w:r>
          </w:p>
        </w:tc>
      </w:tr>
      <w:tr>
        <w:trPr>
          <w:trHeight w:val="248"/>
        </w:trPr>
        <w:tc>
          <w:tcPr>
            <w:tcW w:w="4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cost of revenues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55,785</w:t>
            </w:r>
          </w:p>
        </w:tc>
        <w:tc>
          <w:tcPr>
            <w:tcW w:w="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49,289</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6,496</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13.2 %</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15.7 %</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On a constant currency basis, cost of subscriptions and licenses increased primarily due to an increase in headcount</w:t>
      </w:r>
      <w:r>
        <w:rPr>
          <w:rFonts w:ascii="MS PGothic" w:cs="MS PGothic" w:eastAsia="MS PGothic" w:hAnsi="MS PGothic"/>
          <w:sz w:val="18"/>
          <w:szCs w:val="18"/>
          <w:color w:val="auto"/>
        </w:rPr>
        <w:t>‑</w:t>
      </w:r>
      <w:r>
        <w:rPr>
          <w:rFonts w:ascii="Arial" w:cs="Arial" w:eastAsia="Arial" w:hAnsi="Arial"/>
          <w:sz w:val="18"/>
          <w:szCs w:val="18"/>
          <w:color w:val="auto"/>
        </w:rPr>
        <w:t>related costs of approximately $2,700, primarily due to our platform acquisition of Seequent and annual salary adjustments, and an increase in amortization expense for software and technology of approximately $1,900.</w:t>
      </w:r>
    </w:p>
    <w:p>
      <w:pPr>
        <w:spacing w:after="0" w:line="204" w:lineRule="exact"/>
        <w:rPr>
          <w:sz w:val="20"/>
          <w:szCs w:val="20"/>
          <w:color w:val="auto"/>
        </w:rPr>
      </w:pPr>
    </w:p>
    <w:p>
      <w:pPr>
        <w:jc w:val="both"/>
        <w:spacing w:after="0" w:line="224" w:lineRule="exact"/>
        <w:rPr>
          <w:sz w:val="20"/>
          <w:szCs w:val="20"/>
          <w:color w:val="auto"/>
        </w:rPr>
      </w:pPr>
      <w:r>
        <w:rPr>
          <w:rFonts w:ascii="Arial" w:cs="Arial" w:eastAsia="Arial" w:hAnsi="Arial"/>
          <w:sz w:val="16"/>
          <w:szCs w:val="16"/>
          <w:color w:val="auto"/>
        </w:rPr>
        <w:t>On a constant currency basis, cost of services increased primarily due to an increase in headcount</w:t>
      </w:r>
      <w:r>
        <w:rPr>
          <w:rFonts w:ascii="MS PGothic" w:cs="MS PGothic" w:eastAsia="MS PGothic" w:hAnsi="MS PGothic"/>
          <w:sz w:val="16"/>
          <w:szCs w:val="16"/>
          <w:color w:val="auto"/>
        </w:rPr>
        <w:t>‑</w:t>
      </w:r>
      <w:r>
        <w:rPr>
          <w:rFonts w:ascii="Arial" w:cs="Arial" w:eastAsia="Arial" w:hAnsi="Arial"/>
          <w:sz w:val="16"/>
          <w:szCs w:val="16"/>
          <w:color w:val="auto"/>
        </w:rPr>
        <w:t>related costs of approximately $2,600, primarily due to digital integrator business acquisitions and annual salary adjustments, partially offset by a decrease in facility-related costs of approximately $400.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color w:val="auto"/>
        </w:rPr>
        <w:t>Operating Expense (Income)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Comparison</w:t>
            </w:r>
          </w:p>
        </w:tc>
        <w:tc>
          <w:tcPr>
            <w:tcW w:w="1160" w:type="dxa"/>
            <w:vAlign w:val="bottom"/>
            <w:tcBorders>
              <w:bottom w:val="single" w:sz="8" w:color="auto"/>
            </w:tcBorders>
          </w:tcPr>
          <w:p>
            <w:pPr>
              <w:spacing w:after="0"/>
              <w:rPr>
                <w:sz w:val="18"/>
                <w:szCs w:val="18"/>
                <w:color w:val="auto"/>
              </w:rPr>
            </w:pPr>
          </w:p>
        </w:tc>
      </w:tr>
      <w:tr>
        <w:trPr>
          <w:trHeight w:val="210"/>
        </w:trPr>
        <w:tc>
          <w:tcPr>
            <w:tcW w:w="3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73"/>
              <w:spacing w:after="0"/>
              <w:rPr>
                <w:sz w:val="20"/>
                <w:szCs w:val="20"/>
                <w:color w:val="auto"/>
              </w:rPr>
            </w:pPr>
            <w:r>
              <w:rPr>
                <w:rFonts w:ascii="Arial" w:cs="Arial" w:eastAsia="Arial" w:hAnsi="Arial"/>
                <w:sz w:val="16"/>
                <w:szCs w:val="16"/>
                <w:b w:val="1"/>
                <w:bCs w:val="1"/>
                <w:color w:val="auto"/>
              </w:rPr>
              <w:t>Constant</w:t>
            </w:r>
          </w:p>
        </w:tc>
      </w:tr>
      <w:tr>
        <w:trPr>
          <w:trHeight w:val="216"/>
        </w:trPr>
        <w:tc>
          <w:tcPr>
            <w:tcW w:w="3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6"/>
                <w:szCs w:val="16"/>
                <w:b w:val="1"/>
                <w:bCs w:val="1"/>
                <w:color w:val="auto"/>
              </w:rPr>
              <w:t>March 31,</w:t>
            </w:r>
          </w:p>
        </w:tc>
        <w:tc>
          <w:tcPr>
            <w:tcW w:w="10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53"/>
              <w:spacing w:after="0"/>
              <w:rPr>
                <w:sz w:val="20"/>
                <w:szCs w:val="20"/>
                <w:color w:val="auto"/>
              </w:rPr>
            </w:pPr>
            <w:r>
              <w:rPr>
                <w:rFonts w:ascii="Arial" w:cs="Arial" w:eastAsia="Arial" w:hAnsi="Arial"/>
                <w:sz w:val="16"/>
                <w:szCs w:val="16"/>
                <w:b w:val="1"/>
                <w:bCs w:val="1"/>
                <w:color w:val="auto"/>
              </w:rPr>
              <w:t>Currency</w:t>
            </w:r>
          </w:p>
        </w:tc>
      </w:tr>
      <w:tr>
        <w:trPr>
          <w:trHeight w:val="213"/>
        </w:trPr>
        <w:tc>
          <w:tcPr>
            <w:tcW w:w="3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3"/>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451"/>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31"/>
              <w:spacing w:after="0"/>
              <w:rPr>
                <w:sz w:val="20"/>
                <w:szCs w:val="20"/>
                <w:color w:val="auto"/>
              </w:rPr>
            </w:pPr>
            <w:r>
              <w:rPr>
                <w:rFonts w:ascii="Arial" w:cs="Arial" w:eastAsia="Arial" w:hAnsi="Arial"/>
                <w:sz w:val="16"/>
                <w:szCs w:val="16"/>
                <w:b w:val="1"/>
                <w:bCs w:val="1"/>
                <w:color w:val="auto"/>
              </w:rPr>
              <w:t>Amount</w:t>
            </w:r>
          </w:p>
        </w:tc>
        <w:tc>
          <w:tcPr>
            <w:tcW w:w="1300" w:type="dxa"/>
            <w:vAlign w:val="bottom"/>
            <w:gridSpan w:val="2"/>
          </w:tcPr>
          <w:p>
            <w:pPr>
              <w:jc w:val="right"/>
              <w:ind w:right="415"/>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160" w:type="dxa"/>
            <w:vAlign w:val="bottom"/>
          </w:tcPr>
          <w:p>
            <w:pPr>
              <w:jc w:val="right"/>
              <w:ind w:right="413"/>
              <w:spacing w:after="0"/>
              <w:rPr>
                <w:sz w:val="20"/>
                <w:szCs w:val="20"/>
                <w:color w:val="auto"/>
              </w:rPr>
            </w:pPr>
            <w:r>
              <w:rPr>
                <w:rFonts w:ascii="Arial" w:cs="Arial" w:eastAsia="Arial" w:hAnsi="Arial"/>
                <w:sz w:val="16"/>
                <w:szCs w:val="16"/>
                <w:b w:val="1"/>
                <w:bCs w:val="1"/>
                <w:color w:val="auto"/>
              </w:rPr>
              <w:t>%</w:t>
            </w:r>
          </w:p>
        </w:tc>
      </w:tr>
      <w:tr>
        <w:trPr>
          <w:trHeight w:val="226"/>
        </w:trPr>
        <w:tc>
          <w:tcPr>
            <w:tcW w:w="43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61,273</w:t>
            </w:r>
          </w:p>
        </w:tc>
        <w:tc>
          <w:tcPr>
            <w:tcW w:w="1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47,803</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13,470</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28.2 %</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30.8 %</w:t>
            </w:r>
          </w:p>
        </w:tc>
      </w:tr>
      <w:tr>
        <w:trPr>
          <w:trHeight w:val="229"/>
        </w:trPr>
        <w:tc>
          <w:tcPr>
            <w:tcW w:w="4340" w:type="dxa"/>
            <w:vAlign w:val="bottom"/>
            <w:gridSpan w:val="2"/>
          </w:tcPr>
          <w:p>
            <w:pPr>
              <w:ind w:left="20"/>
              <w:spacing w:after="0"/>
              <w:rPr>
                <w:sz w:val="20"/>
                <w:szCs w:val="20"/>
                <w:color w:val="auto"/>
              </w:rPr>
            </w:pPr>
            <w:r>
              <w:rPr>
                <w:rFonts w:ascii="Arial" w:cs="Arial" w:eastAsia="Arial" w:hAnsi="Arial"/>
                <w:sz w:val="18"/>
                <w:szCs w:val="18"/>
                <w:color w:val="auto"/>
              </w:rPr>
              <w:t>Selling and marketing</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45,945</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32,440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13,505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41.6 %</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44.8 %</w:t>
            </w:r>
          </w:p>
        </w:tc>
      </w:tr>
      <w:tr>
        <w:trPr>
          <w:trHeight w:val="230"/>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51,154</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33,221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54.0 %</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55.6 %</w:t>
            </w:r>
          </w:p>
        </w:tc>
      </w:tr>
      <w:tr>
        <w:trPr>
          <w:trHeight w:val="229"/>
        </w:trPr>
        <w:tc>
          <w:tcPr>
            <w:tcW w:w="4340" w:type="dxa"/>
            <w:vAlign w:val="bottom"/>
            <w:gridSpan w:val="2"/>
          </w:tcPr>
          <w:p>
            <w:pPr>
              <w:ind w:left="20"/>
              <w:spacing w:after="0"/>
              <w:rPr>
                <w:sz w:val="20"/>
                <w:szCs w:val="20"/>
                <w:color w:val="auto"/>
              </w:rPr>
            </w:pPr>
            <w:r>
              <w:rPr>
                <w:rFonts w:ascii="Arial" w:cs="Arial" w:eastAsia="Arial" w:hAnsi="Arial"/>
                <w:sz w:val="18"/>
                <w:szCs w:val="18"/>
                <w:color w:val="auto"/>
              </w:rPr>
              <w:t>Deferred compensation plan</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(5,138)</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(5,305)</w:t>
            </w:r>
          </w:p>
        </w:tc>
        <w:tc>
          <w:tcPr>
            <w:tcW w:w="1300" w:type="dxa"/>
            <w:vAlign w:val="bottom"/>
            <w:gridSpan w:val="2"/>
          </w:tcPr>
          <w:p>
            <w:pPr>
              <w:jc w:val="right"/>
              <w:ind w:right="45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ind w:right="453"/>
              <w:spacing w:after="0"/>
              <w:rPr>
                <w:sz w:val="20"/>
                <w:szCs w:val="20"/>
                <w:color w:val="auto"/>
              </w:rPr>
            </w:pPr>
            <w:r>
              <w:rPr>
                <w:rFonts w:ascii="Arial" w:cs="Arial" w:eastAsia="Arial" w:hAnsi="Arial"/>
                <w:sz w:val="18"/>
                <w:szCs w:val="18"/>
                <w:color w:val="auto"/>
              </w:rPr>
              <w:t>*</w:t>
            </w:r>
          </w:p>
        </w:tc>
      </w:tr>
      <w:tr>
        <w:trPr>
          <w:trHeight w:val="230"/>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purchased intangibles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9,906</w:t>
            </w: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3,438</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188.1 %</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196.1 %</w:t>
            </w:r>
          </w:p>
        </w:tc>
      </w:tr>
      <w:tr>
        <w:trPr>
          <w:trHeight w:val="223"/>
        </w:trPr>
        <w:tc>
          <w:tcPr>
            <w:tcW w:w="4340" w:type="dxa"/>
            <w:vAlign w:val="bottom"/>
            <w:gridSpan w:val="2"/>
          </w:tcPr>
          <w:p>
            <w:pPr>
              <w:ind w:left="1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163,140</w:t>
            </w:r>
          </w:p>
        </w:tc>
        <w:tc>
          <w:tcPr>
            <w:tcW w:w="16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117,069</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46,071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39.4 %</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42.0 %</w:t>
            </w:r>
          </w:p>
        </w:tc>
      </w:tr>
      <w:tr>
        <w:trPr>
          <w:trHeight w:val="21"/>
        </w:trPr>
        <w:tc>
          <w:tcPr>
            <w:tcW w:w="3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09"/>
        </w:trPr>
        <w:tc>
          <w:tcPr>
            <w:tcW w:w="3000" w:type="dxa"/>
            <w:vAlign w:val="bottom"/>
            <w:tcBorders>
              <w:bottom w:val="single" w:sz="8" w:color="auto"/>
            </w:tcBorders>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bl>
    <w:p>
      <w:pPr>
        <w:spacing w:after="0" w:line="121"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Not meaningful</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On a constant currency basis, research and development expenses increased primarily due to an increase in headcount-related</w:t>
      </w:r>
      <w:r>
        <w:rPr>
          <w:rFonts w:ascii="Arial" w:cs="Arial" w:eastAsia="Arial" w:hAnsi="Arial"/>
          <w:sz w:val="18"/>
          <w:szCs w:val="18"/>
          <w:i w:val="1"/>
          <w:iCs w:val="1"/>
          <w:color w:val="auto"/>
        </w:rPr>
        <w:t xml:space="preserve"> </w:t>
      </w:r>
      <w:r>
        <w:rPr>
          <w:rFonts w:ascii="Arial" w:cs="Arial" w:eastAsia="Arial" w:hAnsi="Arial"/>
          <w:sz w:val="18"/>
          <w:szCs w:val="18"/>
          <w:color w:val="auto"/>
        </w:rPr>
        <w:t>costs of approximately $13,400, primarily due to our platform acquisition of Seequent and annual salary adjustments.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Selling and marketing. </w:t>
      </w:r>
      <w:r>
        <w:rPr>
          <w:rFonts w:ascii="Arial" w:cs="Arial" w:eastAsia="Arial" w:hAnsi="Arial"/>
          <w:sz w:val="18"/>
          <w:szCs w:val="18"/>
          <w:color w:val="auto"/>
        </w:rPr>
        <w:t>On a constant currency basis, selling and marketing expenses increased primarily due to an increase in headcount-related costs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$11,600, primarily due to our platform acquisition of Seequent and annual salary adjustments, and an increase in promotional costs of approximately $1,400.</w:t>
      </w:r>
    </w:p>
    <w:p>
      <w:pPr>
        <w:spacing w:after="0" w:line="184" w:lineRule="exact"/>
        <w:rPr>
          <w:sz w:val="20"/>
          <w:szCs w:val="20"/>
          <w:color w:val="auto"/>
        </w:rPr>
      </w:pPr>
    </w:p>
    <w:p>
      <w:pPr>
        <w:jc w:val="both"/>
        <w:spacing w:after="0" w:line="219" w:lineRule="exact"/>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On a constant currency basis, general and administrative expenses increased primarily due to an increase headcount-related</w:t>
      </w:r>
      <w:r>
        <w:rPr>
          <w:rFonts w:ascii="Arial" w:cs="Arial" w:eastAsia="Arial" w:hAnsi="Arial"/>
          <w:sz w:val="16"/>
          <w:szCs w:val="16"/>
          <w:i w:val="1"/>
          <w:iCs w:val="1"/>
          <w:color w:val="auto"/>
        </w:rPr>
        <w:t xml:space="preserve"> </w:t>
      </w:r>
      <w:r>
        <w:rPr>
          <w:rFonts w:ascii="Arial" w:cs="Arial" w:eastAsia="Arial" w:hAnsi="Arial"/>
          <w:sz w:val="16"/>
          <w:szCs w:val="16"/>
          <w:color w:val="auto"/>
        </w:rPr>
        <w:t>costs of approximately $10,500, an increase in acquisition expenses of approximately $3,700, primarily due to expenses related to our platform acquisition of Power Line Systems, and an increase in third party subscription software and facilities costs of approximately $2,200. The approximate $10,500 increase in headcount-related costs was primarily comprised of an increase in salaries costs of approximately $6,000, primarily due to our platform acquisition of Seequent and annual salary adjustments, and an increase in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of approximately $3,500.</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Deferred compensation plan</w:t>
      </w:r>
      <w:r>
        <w:rPr>
          <w:rFonts w:ascii="Arial" w:cs="Arial" w:eastAsia="Arial" w:hAnsi="Arial"/>
          <w:sz w:val="18"/>
          <w:szCs w:val="18"/>
          <w:color w:val="auto"/>
        </w:rPr>
        <w:t>. For the three months ended March 31, 2022, deferred compensation plan income was $5,138 as compared to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plan expense of $167 for the three months ended March 31, 2021. These amounts were attributable to the marked to market impact on deferred compensation plan liability balances period over period.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Amortization of purchased intangibles. </w:t>
      </w:r>
      <w:r>
        <w:rPr>
          <w:rFonts w:ascii="Arial" w:cs="Arial" w:eastAsia="Arial" w:hAnsi="Arial"/>
          <w:sz w:val="18"/>
          <w:szCs w:val="18"/>
          <w:color w:val="auto"/>
        </w:rPr>
        <w:t>On a constant currency basis, amortization of purchased intangibles increased primarily due to amortization from</w:t>
      </w:r>
      <w:r>
        <w:rPr>
          <w:rFonts w:ascii="Arial" w:cs="Arial" w:eastAsia="Arial" w:hAnsi="Arial"/>
          <w:sz w:val="18"/>
          <w:szCs w:val="18"/>
          <w:i w:val="1"/>
          <w:iCs w:val="1"/>
          <w:color w:val="auto"/>
        </w:rPr>
        <w:t xml:space="preserve"> </w:t>
      </w:r>
      <w:r>
        <w:rPr>
          <w:rFonts w:ascii="Arial" w:cs="Arial" w:eastAsia="Arial" w:hAnsi="Arial"/>
          <w:sz w:val="18"/>
          <w:szCs w:val="18"/>
          <w:color w:val="auto"/>
        </w:rPr>
        <w:t>recently acquired purchased intangibles.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i w:val="1"/>
          <w:iCs w:val="1"/>
          <w:color w:val="auto"/>
        </w:rPr>
        <w:t>Interest Expense, Net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Three Months Ended</w:t>
            </w:r>
          </w:p>
        </w:tc>
        <w:tc>
          <w:tcPr>
            <w:tcW w:w="960" w:type="dxa"/>
            <w:vAlign w:val="bottom"/>
          </w:tcPr>
          <w:p>
            <w:pPr>
              <w:spacing w:after="0"/>
              <w:rPr>
                <w:sz w:val="18"/>
                <w:szCs w:val="18"/>
                <w:color w:val="auto"/>
              </w:rPr>
            </w:pPr>
          </w:p>
        </w:tc>
      </w:tr>
      <w:tr>
        <w:trPr>
          <w:trHeight w:val="219"/>
        </w:trPr>
        <w:tc>
          <w:tcPr>
            <w:tcW w:w="786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4"/>
              </w:rPr>
              <w:t>March 31,</w:t>
            </w:r>
          </w:p>
        </w:tc>
        <w:tc>
          <w:tcPr>
            <w:tcW w:w="960" w:type="dxa"/>
            <w:vAlign w:val="bottom"/>
            <w:tcBorders>
              <w:bottom w:val="single" w:sz="8" w:color="auto"/>
            </w:tcBorders>
          </w:tcPr>
          <w:p>
            <w:pPr>
              <w:spacing w:after="0"/>
              <w:rPr>
                <w:sz w:val="19"/>
                <w:szCs w:val="19"/>
                <w:color w:val="auto"/>
              </w:rPr>
            </w:pPr>
          </w:p>
        </w:tc>
      </w:tr>
      <w:tr>
        <w:trPr>
          <w:trHeight w:val="210"/>
        </w:trPr>
        <w:tc>
          <w:tcPr>
            <w:tcW w:w="78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2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w w:val="89"/>
              </w:rPr>
              <w:t>2021</w:t>
            </w:r>
          </w:p>
        </w:tc>
      </w:tr>
      <w:tr>
        <w:trPr>
          <w:trHeight w:val="22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940" w:type="dxa"/>
            <w:vAlign w:val="bottom"/>
            <w:shd w:val="clear" w:color="auto" w:fill="CCEEFF"/>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(7,124)</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w:t>
            </w:r>
          </w:p>
        </w:tc>
      </w:tr>
      <w:tr>
        <w:trPr>
          <w:trHeight w:val="22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income</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6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r>
      <w:tr>
        <w:trPr>
          <w:trHeight w:val="248"/>
        </w:trPr>
        <w:tc>
          <w:tcPr>
            <w:tcW w:w="7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940" w:type="dxa"/>
            <w:vAlign w:val="bottom"/>
            <w:tcBorders>
              <w:bottom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(7,042)</w:t>
            </w:r>
          </w:p>
        </w:tc>
        <w:tc>
          <w:tcPr>
            <w:tcW w:w="2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(2,319)</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522"/>
        </w:trPr>
        <w:tc>
          <w:tcPr>
            <w:tcW w:w="7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Three Months Ended</w:t>
            </w:r>
          </w:p>
        </w:tc>
        <w:tc>
          <w:tcPr>
            <w:tcW w:w="960" w:type="dxa"/>
            <w:vAlign w:val="bottom"/>
          </w:tcPr>
          <w:p>
            <w:pPr>
              <w:spacing w:after="0"/>
              <w:rPr>
                <w:sz w:val="24"/>
                <w:szCs w:val="24"/>
                <w:color w:val="auto"/>
              </w:rPr>
            </w:pPr>
          </w:p>
        </w:tc>
      </w:tr>
      <w:tr>
        <w:trPr>
          <w:trHeight w:val="219"/>
        </w:trPr>
        <w:tc>
          <w:tcPr>
            <w:tcW w:w="786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4"/>
              </w:rPr>
              <w:t>March 31,</w:t>
            </w:r>
          </w:p>
        </w:tc>
        <w:tc>
          <w:tcPr>
            <w:tcW w:w="960" w:type="dxa"/>
            <w:vAlign w:val="bottom"/>
            <w:tcBorders>
              <w:bottom w:val="single" w:sz="8" w:color="auto"/>
            </w:tcBorders>
          </w:tcPr>
          <w:p>
            <w:pPr>
              <w:spacing w:after="0"/>
              <w:rPr>
                <w:sz w:val="19"/>
                <w:szCs w:val="19"/>
                <w:color w:val="auto"/>
              </w:rPr>
            </w:pPr>
          </w:p>
        </w:tc>
      </w:tr>
      <w:tr>
        <w:trPr>
          <w:trHeight w:val="210"/>
        </w:trPr>
        <w:tc>
          <w:tcPr>
            <w:tcW w:w="78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2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w w:val="89"/>
              </w:rPr>
              <w:t>2021</w:t>
            </w:r>
          </w:p>
        </w:tc>
      </w:tr>
      <w:tr>
        <w:trPr>
          <w:trHeight w:val="22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loan facility</w:t>
            </w:r>
          </w:p>
        </w:tc>
        <w:tc>
          <w:tcPr>
            <w:tcW w:w="940" w:type="dxa"/>
            <w:vAlign w:val="bottom"/>
            <w:shd w:val="clear" w:color="auto" w:fill="CCEEFF"/>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Term loan</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(1,067)</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Convertible senior notes, coupon interest</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(755)</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7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and write-off of deferred debt issuance costs</w:t>
            </w:r>
          </w:p>
        </w:tc>
        <w:tc>
          <w:tcPr>
            <w:tcW w:w="94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2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w:t>
            </w:r>
          </w:p>
        </w:tc>
      </w:tr>
      <w:tr>
        <w:trPr>
          <w:trHeight w:val="22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w:t>
            </w:r>
          </w:p>
        </w:tc>
        <w:tc>
          <w:tcPr>
            <w:tcW w:w="26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r>
      <w:tr>
        <w:trPr>
          <w:trHeight w:val="248"/>
        </w:trPr>
        <w:tc>
          <w:tcPr>
            <w:tcW w:w="7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940" w:type="dxa"/>
            <w:vAlign w:val="bottom"/>
            <w:tcBorders>
              <w:bottom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(7,042)</w:t>
            </w:r>
          </w:p>
        </w:tc>
        <w:tc>
          <w:tcPr>
            <w:tcW w:w="2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(2,319)</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three months ended March 31, 2022, interest expense, net increased from the three months ended March 31, 2021 primarily due to a higher outstanding average balance under the revolving loan facility, and interest expense on the term loan and the convertible senior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Three Months Ended</w:t>
            </w:r>
          </w:p>
        </w:tc>
        <w:tc>
          <w:tcPr>
            <w:tcW w:w="960" w:type="dxa"/>
            <w:vAlign w:val="bottom"/>
          </w:tcPr>
          <w:p>
            <w:pPr>
              <w:spacing w:after="0"/>
              <w:rPr>
                <w:sz w:val="18"/>
                <w:szCs w:val="18"/>
                <w:color w:val="auto"/>
              </w:rPr>
            </w:pPr>
          </w:p>
        </w:tc>
      </w:tr>
      <w:tr>
        <w:trPr>
          <w:trHeight w:val="219"/>
        </w:trPr>
        <w:tc>
          <w:tcPr>
            <w:tcW w:w="786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4"/>
              </w:rPr>
              <w:t>March 31,</w:t>
            </w:r>
          </w:p>
        </w:tc>
        <w:tc>
          <w:tcPr>
            <w:tcW w:w="960" w:type="dxa"/>
            <w:vAlign w:val="bottom"/>
            <w:tcBorders>
              <w:bottom w:val="single" w:sz="8" w:color="auto"/>
            </w:tcBorders>
          </w:tcPr>
          <w:p>
            <w:pPr>
              <w:spacing w:after="0"/>
              <w:rPr>
                <w:sz w:val="19"/>
                <w:szCs w:val="19"/>
                <w:color w:val="auto"/>
              </w:rPr>
            </w:pPr>
          </w:p>
        </w:tc>
      </w:tr>
      <w:tr>
        <w:trPr>
          <w:trHeight w:val="210"/>
        </w:trPr>
        <w:tc>
          <w:tcPr>
            <w:tcW w:w="78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2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w w:val="89"/>
              </w:rPr>
              <w:t>2021</w:t>
            </w:r>
          </w:p>
        </w:tc>
      </w:tr>
      <w:tr>
        <w:trPr>
          <w:trHeight w:val="22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(loss) gain</w:t>
            </w:r>
          </w:p>
        </w:tc>
        <w:tc>
          <w:tcPr>
            <w:tcW w:w="940" w:type="dxa"/>
            <w:vAlign w:val="bottom"/>
            <w:shd w:val="clear" w:color="auto" w:fill="CCEEFF"/>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4"/>
              </w:rPr>
              <w:t>(3,071)</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8"/>
              </w:rPr>
              <w:t>13,712</w:t>
            </w:r>
          </w:p>
        </w:tc>
        <w:tc>
          <w:tcPr>
            <w:tcW w:w="26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13,690</w:t>
            </w:r>
          </w:p>
        </w:tc>
      </w:tr>
      <w:tr>
        <w:trPr>
          <w:trHeight w:val="248"/>
        </w:trPr>
        <w:tc>
          <w:tcPr>
            <w:tcW w:w="7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other income, net</w:t>
            </w:r>
          </w:p>
        </w:tc>
        <w:tc>
          <w:tcPr>
            <w:tcW w:w="940" w:type="dxa"/>
            <w:vAlign w:val="bottom"/>
            <w:tcBorders>
              <w:bottom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8"/>
              </w:rPr>
              <w:t>10,641</w:t>
            </w:r>
          </w:p>
        </w:tc>
        <w:tc>
          <w:tcPr>
            <w:tcW w:w="2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14,482</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March 31, 2022 and 2021, total other income, net consists of foreign exchange (losses) gains of $(3,071) and $792, respectively. The foreign exchange (losses) gains derive primarily from U.S. Dollar denominated cash and cash equivalents, accounts receivable, customer deposits, and intercompany balances held by foreign subsidiaries.</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For the three months ended March 31, 2022, other income, net includes a gain from the change in fair value of our interest rate swap of $12,084 and a gain on the sale of 50% of our interest in our aircraft of $2,029, partially offset by a loss from the change in fair value of acquisition contingent consideration of $500. For the three months ended March 31, 2021, other income, net includes a gain from the change in fair value of our interest rate swap of $13,661.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The income tax provisions for the three months ended March 31, 2022 and 2021 were based on the estimated annual effective income tax rates adjusted for discrete items occurring during the periods presented. For the three months ended March 31, 2022 and 2021, we recognized an aggregate consolidated income tax expense of $3,231 and $10,358, respectively, for U.S. domestic and foreign income taxes. For the three months ended March 31, 2022 and 2021, we recorded discrete tax benefits of $12,728 and $7,485, respectively, primarily associated with significant windfall tax benefits from stock</w:t>
      </w:r>
      <w:r>
        <w:rPr>
          <w:rFonts w:ascii="MS PGothic" w:cs="MS PGothic" w:eastAsia="MS PGothic" w:hAnsi="MS PGothic"/>
          <w:sz w:val="16"/>
          <w:szCs w:val="16"/>
          <w:color w:val="auto"/>
        </w:rPr>
        <w:t>‑</w:t>
      </w:r>
      <w:r>
        <w:rPr>
          <w:rFonts w:ascii="Arial" w:cs="Arial" w:eastAsia="Arial" w:hAnsi="Arial"/>
          <w:sz w:val="16"/>
          <w:szCs w:val="16"/>
          <w:color w:val="auto"/>
        </w:rPr>
        <w:t xml:space="preserve">based compensation, net of the impact from officer compensation limitation provisions. The effective income tax rate of 5.4% on </w:t>
      </w:r>
      <w:r>
        <w:rPr>
          <w:rFonts w:ascii="Arial" w:cs="Arial" w:eastAsia="Arial" w:hAnsi="Arial"/>
          <w:sz w:val="16"/>
          <w:szCs w:val="16"/>
          <w:i w:val="1"/>
          <w:iCs w:val="1"/>
          <w:color w:val="auto"/>
        </w:rPr>
        <w:t>Income before income taxes</w:t>
      </w:r>
      <w:r>
        <w:rPr>
          <w:rFonts w:ascii="Arial" w:cs="Arial" w:eastAsia="Arial" w:hAnsi="Arial"/>
          <w:sz w:val="16"/>
          <w:szCs w:val="16"/>
          <w:color w:val="auto"/>
        </w:rPr>
        <w:t xml:space="preserve"> of $60,191 for the three months ended March 31, 2022 was lower than the effective income tax rate of 15.3% on </w:t>
      </w:r>
      <w:r>
        <w:rPr>
          <w:rFonts w:ascii="Arial" w:cs="Arial" w:eastAsia="Arial" w:hAnsi="Arial"/>
          <w:sz w:val="16"/>
          <w:szCs w:val="16"/>
          <w:i w:val="1"/>
          <w:iCs w:val="1"/>
          <w:color w:val="auto"/>
        </w:rPr>
        <w:t>Income before income taxes</w:t>
      </w:r>
      <w:r>
        <w:rPr>
          <w:rFonts w:ascii="Arial" w:cs="Arial" w:eastAsia="Arial" w:hAnsi="Arial"/>
          <w:sz w:val="16"/>
          <w:szCs w:val="16"/>
          <w:color w:val="auto"/>
        </w:rPr>
        <w:t xml:space="preserve"> of $67,810 for the three months ended March 31, 2021 primarily due to an increase in discrete tax benefits as discussed above.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266" w:lineRule="exact"/>
        <w:rPr>
          <w:sz w:val="20"/>
          <w:szCs w:val="20"/>
          <w:color w:val="auto"/>
        </w:rPr>
      </w:pPr>
    </w:p>
    <w:p>
      <w:pPr>
        <w:jc w:val="center"/>
        <w:ind w:left="7840"/>
        <w:spacing w:after="0"/>
        <w:rPr>
          <w:sz w:val="20"/>
          <w:szCs w:val="20"/>
          <w:color w:val="auto"/>
        </w:rPr>
      </w:pPr>
      <w:r>
        <w:rPr>
          <w:rFonts w:ascii="Arial" w:cs="Arial" w:eastAsia="Arial" w:hAnsi="Arial"/>
          <w:sz w:val="16"/>
          <w:szCs w:val="16"/>
          <w:b w:val="1"/>
          <w:bCs w:val="1"/>
          <w:color w:val="auto"/>
        </w:rPr>
        <w:t>Three Months Ended</w:t>
      </w:r>
    </w:p>
    <w:p>
      <w:pPr>
        <w:spacing w:after="0" w:line="32" w:lineRule="exact"/>
        <w:rPr>
          <w:sz w:val="20"/>
          <w:szCs w:val="20"/>
          <w:color w:val="auto"/>
        </w:rPr>
      </w:pPr>
    </w:p>
    <w:p>
      <w:pPr>
        <w:jc w:val="center"/>
        <w:ind w:left="784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20320</wp:posOffset>
            </wp:positionV>
            <wp:extent cx="21513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26" w:lineRule="exact"/>
        <w:rPr>
          <w:sz w:val="20"/>
          <w:szCs w:val="20"/>
          <w:color w:val="auto"/>
        </w:rPr>
      </w:pPr>
    </w:p>
    <w:p>
      <w:pPr>
        <w:ind w:left="8480"/>
        <w:spacing w:after="0"/>
        <w:tabs>
          <w:tab w:leader="none" w:pos="10280" w:val="left"/>
        </w:tabs>
        <w:rPr>
          <w:sz w:val="20"/>
          <w:szCs w:val="20"/>
          <w:color w:val="auto"/>
        </w:rPr>
      </w:pPr>
      <w:r>
        <w:rPr>
          <w:rFonts w:ascii="Arial" w:cs="Arial" w:eastAsia="Arial" w:hAnsi="Arial"/>
          <w:sz w:val="16"/>
          <w:szCs w:val="16"/>
          <w:b w:val="1"/>
          <w:bCs w:val="1"/>
          <w:color w:val="auto"/>
        </w:rPr>
        <w:t>2022</w:t>
      </w:r>
      <w:r>
        <w:rPr>
          <w:sz w:val="20"/>
          <w:szCs w:val="20"/>
          <w:color w:val="auto"/>
        </w:rPr>
        <w:tab/>
      </w:r>
      <w:r>
        <w:rPr>
          <w:rFonts w:ascii="Arial" w:cs="Arial" w:eastAsia="Arial" w:hAnsi="Arial"/>
          <w:sz w:val="16"/>
          <w:szCs w:val="16"/>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 w:lineRule="exact"/>
        <w:rPr>
          <w:sz w:val="20"/>
          <w:szCs w:val="20"/>
          <w:color w:val="auto"/>
        </w:rPr>
      </w:pPr>
    </w:p>
    <w:p>
      <w:pPr>
        <w:ind w:left="20"/>
        <w:spacing w:after="0"/>
        <w:tabs>
          <w:tab w:leader="none" w:pos="7840" w:val="left"/>
          <w:tab w:leader="none" w:pos="8840" w:val="left"/>
          <w:tab w:leader="none" w:pos="9680" w:val="left"/>
          <w:tab w:leader="none" w:pos="10660" w:val="left"/>
        </w:tabs>
        <w:rPr>
          <w:sz w:val="20"/>
          <w:szCs w:val="20"/>
          <w:color w:val="auto"/>
        </w:rPr>
      </w:pPr>
      <w:r>
        <w:rPr>
          <w:rFonts w:ascii="Arial" w:cs="Arial" w:eastAsia="Arial" w:hAnsi="Arial"/>
          <w:sz w:val="18"/>
          <w:szCs w:val="18"/>
          <w:color w:val="auto"/>
        </w:rPr>
        <w:t>Net income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56,388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57,006</w:t>
      </w:r>
    </w:p>
    <w:p>
      <w:pPr>
        <w:spacing w:after="0" w:line="3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2022, net income decreased by $618, or 1.1%, compared to the three months ended March 31, 2021. Net income as a percentage of total revenues was 20.5% and 25.7%, respectively. The changes are due to the factors described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and Adjusted Net Income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w w:val="92"/>
              </w:rPr>
              <w:t>Three Months Ended</w:t>
            </w:r>
          </w:p>
        </w:tc>
        <w:tc>
          <w:tcPr>
            <w:tcW w:w="960" w:type="dxa"/>
            <w:vAlign w:val="bottom"/>
          </w:tcPr>
          <w:p>
            <w:pPr>
              <w:spacing w:after="0"/>
              <w:rPr>
                <w:sz w:val="18"/>
                <w:szCs w:val="18"/>
                <w:color w:val="auto"/>
              </w:rPr>
            </w:pPr>
          </w:p>
        </w:tc>
      </w:tr>
      <w:tr>
        <w:trPr>
          <w:trHeight w:val="219"/>
        </w:trPr>
        <w:tc>
          <w:tcPr>
            <w:tcW w:w="786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6"/>
                <w:szCs w:val="16"/>
                <w:b w:val="1"/>
                <w:bCs w:val="1"/>
                <w:color w:val="auto"/>
              </w:rPr>
              <w:t>March 31,</w:t>
            </w:r>
          </w:p>
        </w:tc>
        <w:tc>
          <w:tcPr>
            <w:tcW w:w="960" w:type="dxa"/>
            <w:vAlign w:val="bottom"/>
            <w:tcBorders>
              <w:bottom w:val="single" w:sz="8" w:color="auto"/>
            </w:tcBorders>
          </w:tcPr>
          <w:p>
            <w:pPr>
              <w:spacing w:after="0"/>
              <w:rPr>
                <w:sz w:val="19"/>
                <w:szCs w:val="19"/>
                <w:color w:val="auto"/>
              </w:rPr>
            </w:pPr>
          </w:p>
        </w:tc>
      </w:tr>
      <w:tr>
        <w:trPr>
          <w:trHeight w:val="210"/>
        </w:trPr>
        <w:tc>
          <w:tcPr>
            <w:tcW w:w="78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2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w w:val="89"/>
              </w:rPr>
              <w:t>2021</w:t>
            </w:r>
          </w:p>
        </w:tc>
      </w:tr>
      <w:tr>
        <w:trPr>
          <w:trHeight w:val="25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940" w:type="dxa"/>
            <w:vAlign w:val="bottom"/>
            <w:shd w:val="clear" w:color="auto" w:fill="CCEEFF"/>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97,616</w:t>
            </w: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82,976</w:t>
            </w:r>
          </w:p>
        </w:tc>
      </w:tr>
      <w:tr>
        <w:trPr>
          <w:trHeight w:val="270"/>
        </w:trPr>
        <w:tc>
          <w:tcPr>
            <w:tcW w:w="786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940" w:type="dxa"/>
            <w:vAlign w:val="bottom"/>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4"/>
              </w:rPr>
              <w:t>79,556</w:t>
            </w:r>
          </w:p>
        </w:tc>
        <w:tc>
          <w:tcPr>
            <w:tcW w:w="260" w:type="dxa"/>
            <w:vAlign w:val="bottom"/>
          </w:tcPr>
          <w:p>
            <w:pPr>
              <w:spacing w:after="0"/>
              <w:rPr>
                <w:sz w:val="23"/>
                <w:szCs w:val="23"/>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64,130</w:t>
            </w:r>
          </w:p>
        </w:tc>
      </w:tr>
    </w:tbl>
    <w:p>
      <w:pPr>
        <w:spacing w:after="0" w:line="28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three months ended March 31, 2022, Adjusted EBITDA increased by $14,640 compared to the three months ended March 31, 2021. For the three months ended March 31, 2022 and 2021, Adjusted EBITDA as a percentage of total revenues was 35.4% and 37.4%, respectively.</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2022, Adjusted Net Income increased by $15,426 compared to the three months ended March 31, 2021. Adjusted Net Income as a percentage of total revenues was 28.9% for both the three months ended March 31, 2022 and 2021.</w:t>
      </w:r>
    </w:p>
    <w:p>
      <w:pPr>
        <w:spacing w:after="0" w:line="170" w:lineRule="exact"/>
        <w:rPr>
          <w:sz w:val="20"/>
          <w:szCs w:val="20"/>
          <w:color w:val="auto"/>
        </w:rPr>
      </w:pPr>
    </w:p>
    <w:p>
      <w:pPr>
        <w:jc w:val="both"/>
        <w:spacing w:after="0" w:line="224" w:lineRule="exact"/>
        <w:rPr>
          <w:sz w:val="20"/>
          <w:szCs w:val="20"/>
          <w:color w:val="auto"/>
        </w:rPr>
      </w:pPr>
      <w:r>
        <w:rPr>
          <w:rFonts w:ascii="Arial" w:cs="Arial" w:eastAsia="Arial" w:hAnsi="Arial"/>
          <w:sz w:val="17"/>
          <w:szCs w:val="17"/>
          <w:color w:val="auto"/>
        </w:rPr>
        <w:t>For additional information, including the limitations of using non</w:t>
      </w:r>
      <w:r>
        <w:rPr>
          <w:rFonts w:ascii="MS PGothic" w:cs="MS PGothic" w:eastAsia="MS PGothic" w:hAnsi="MS PGothic"/>
          <w:sz w:val="17"/>
          <w:szCs w:val="17"/>
          <w:color w:val="auto"/>
        </w:rPr>
        <w:t>‑</w:t>
      </w:r>
      <w:r>
        <w:rPr>
          <w:rFonts w:ascii="Arial" w:cs="Arial" w:eastAsia="Arial" w:hAnsi="Arial"/>
          <w:sz w:val="17"/>
          <w:szCs w:val="17"/>
          <w:color w:val="auto"/>
        </w:rPr>
        <w:t>GAAP financial measures, and reconciliations of the non</w:t>
      </w:r>
      <w:r>
        <w:rPr>
          <w:rFonts w:ascii="MS PGothic" w:cs="MS PGothic" w:eastAsia="MS PGothic" w:hAnsi="MS PGothic"/>
          <w:sz w:val="17"/>
          <w:szCs w:val="17"/>
          <w:color w:val="auto"/>
        </w:rPr>
        <w:t>‑</w:t>
      </w:r>
      <w:r>
        <w:rPr>
          <w:rFonts w:ascii="Arial" w:cs="Arial" w:eastAsia="Arial" w:hAnsi="Arial"/>
          <w:sz w:val="17"/>
          <w:szCs w:val="17"/>
          <w:color w:val="auto"/>
        </w:rPr>
        <w:t>GAAP financial measures to the most directly comparable financial measures stated in accordance with U.S. GAAP, see the section titled “—Non</w:t>
      </w:r>
      <w:r>
        <w:rPr>
          <w:rFonts w:ascii="MS PGothic" w:cs="MS PGothic" w:eastAsia="MS PGothic" w:hAnsi="MS PGothic"/>
          <w:sz w:val="17"/>
          <w:szCs w:val="17"/>
          <w:color w:val="auto"/>
        </w:rPr>
        <w:t>‑</w:t>
      </w:r>
      <w:r>
        <w:rPr>
          <w:rFonts w:ascii="Arial" w:cs="Arial" w:eastAsia="Arial" w:hAnsi="Arial"/>
          <w:sz w:val="17"/>
          <w:szCs w:val="17"/>
          <w:color w:val="auto"/>
        </w:rPr>
        <w:t>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Our primary source of operating cash is from the sale of subscriptions, perpetual licenses, and services. Our primary use of cash is payment of our operating costs, which consist primarily of colleague-related expenses, such as compensation and benefits, as well as general operating expenses for marketing, facilities, and overhead costs. In addition to operating expenses, we also use cash to pay quarterly dividends, to service our debt obligations, and for capital expenditures in support of our operations. We also use cash to fund our acquisitions of software assets and businesses, and other investment activities of </w:t>
      </w:r>
      <w:r>
        <w:rPr>
          <w:rFonts w:ascii="Arial" w:cs="Arial" w:eastAsia="Arial" w:hAnsi="Arial"/>
          <w:sz w:val="17"/>
          <w:szCs w:val="17"/>
          <w:i w:val="1"/>
          <w:iCs w:val="1"/>
          <w:color w:val="auto"/>
        </w:rPr>
        <w:t>BSY Investments</w:t>
      </w:r>
      <w:r>
        <w:rPr>
          <w:rFonts w:ascii="Arial" w:cs="Arial" w:eastAsia="Arial" w:hAnsi="Arial"/>
          <w:sz w:val="17"/>
          <w:szCs w:val="17"/>
          <w:color w:val="auto"/>
        </w:rPr>
        <w:t xml:space="preserve">, including </w:t>
      </w:r>
      <w:r>
        <w:rPr>
          <w:rFonts w:ascii="Arial" w:cs="Arial" w:eastAsia="Arial" w:hAnsi="Arial"/>
          <w:sz w:val="17"/>
          <w:szCs w:val="17"/>
          <w:i w:val="1"/>
          <w:iCs w:val="1"/>
          <w:color w:val="auto"/>
        </w:rPr>
        <w:t>iTwin Ventures</w:t>
      </w:r>
      <w:r>
        <w:rPr>
          <w:rFonts w:ascii="Arial" w:cs="Arial" w:eastAsia="Arial" w:hAnsi="Arial"/>
          <w:sz w:val="17"/>
          <w:szCs w:val="17"/>
          <w:color w:val="auto"/>
        </w:rPr>
        <w:t xml:space="preserve"> for which, over a period of approximately 5 years, we expect to invest up to $100 million of corporate venture capital funding for seed, early, and growth stage technology companies with promising and emerging opportunities for infrastructure digital twin solutions strategically relevant to our business. In connection with the acquisition of Power Line Systems in January 2022, we used available cash and borrowings under our Credit Facility (described below) to fund the transaction.</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cash and cash equivalent balances are concentrated in a few locations around the world, with substantial amounts held outside of the U.S. As of March 31, 2022 and December 31, 2021, 95% and 48%, respectively, of our total cash and cash equivalents were located outside of the U.S. During the three months ended March 31, 2022, we repatriated $100,000 of undistributed previously taxed earnings generated by our foreign subsidiaries to the U.S. Subsequent to March 31, 2022, we repatriated $50,000 of accumulated undistributed previously taxed earnings generated by our foreign subsidiaries as of March 31, 2022 to the U.S. The repatriation was used to fund a portion of the acquisition of Power Line Systems. We expect to meet our U.S. liquidity needs through ongoing cash flows or external borrowings including available liquidity under the Credit Facility. We regularly review our capital structure and consider a variety of potential financing alternatives and planning strategies to ensure that we have the proper liquidity available in the locations in which it is needed and to fund our operations and growth investments with cash that has not been permanently reinvested outside the U.S.</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believe that existing cash and cash equivalent balances, together with cash generated from operations, and liquidity under the Credit Facility, will be sufficient to meet our domestic and international working capital and capital expenditure requirements through the next twelve months. However, our future capital requirements may be materially different than those currently planned in our budgeting and forecasting activities and depend on many factors, including our strategy of regularly acquiring and integrating specialized infrastructure engineering software businesses, our rate of revenue growth, the timing and extent of spending on research and development, the expansion of our sales and marketing activities, the timing of new product introductions, market acceptance of our products, competitive factors, currency fluctuations, and overall economic conditions, globally. 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stockholders, while the incurrence of debt financing, including convertible debt, would result in debt service obligations. Such debt instruments also could introduce covenants that might restrict our operations. We cannot provide assurance that we could obtain additional financing on favorable terms or at all.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consider all highly liquid investments with an original maturity of three months or less at the date of purchase to be cash equivalents. Our cash and cash equivalents consisted of cash held in checking accounts and money market funds maintained at various financial institutions. The following table presents our domestic and foreign holdings of cash and cash equivalents: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18"/>
                <w:szCs w:val="18"/>
                <w:color w:val="auto"/>
              </w:rPr>
            </w:pPr>
          </w:p>
        </w:tc>
        <w:tc>
          <w:tcPr>
            <w:tcW w:w="1360" w:type="dxa"/>
            <w:vAlign w:val="bottom"/>
          </w:tcPr>
          <w:p>
            <w:pPr>
              <w:jc w:val="right"/>
              <w:ind w:right="234"/>
              <w:spacing w:after="0"/>
              <w:rPr>
                <w:sz w:val="20"/>
                <w:szCs w:val="20"/>
                <w:color w:val="auto"/>
              </w:rPr>
            </w:pPr>
            <w:r>
              <w:rPr>
                <w:rFonts w:ascii="Arial" w:cs="Arial" w:eastAsia="Arial" w:hAnsi="Arial"/>
                <w:sz w:val="16"/>
                <w:szCs w:val="16"/>
                <w:b w:val="1"/>
                <w:bCs w:val="1"/>
                <w:color w:val="auto"/>
                <w:w w:val="97"/>
              </w:rPr>
              <w:t>December 31,</w:t>
            </w:r>
          </w:p>
        </w:tc>
      </w:tr>
      <w:tr>
        <w:trPr>
          <w:trHeight w:val="219"/>
        </w:trPr>
        <w:tc>
          <w:tcPr>
            <w:tcW w:w="78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2021</w:t>
            </w:r>
          </w:p>
        </w:tc>
      </w:tr>
      <w:tr>
        <w:trPr>
          <w:trHeight w:val="22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held domestically</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7,094</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170,267</w:t>
            </w:r>
          </w:p>
        </w:tc>
      </w:tr>
      <w:tr>
        <w:trPr>
          <w:trHeight w:val="22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held by foreign subsidiaries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122,523</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159,070</w:t>
            </w:r>
          </w:p>
        </w:tc>
      </w:tr>
      <w:tr>
        <w:trPr>
          <w:trHeight w:val="248"/>
        </w:trPr>
        <w:tc>
          <w:tcPr>
            <w:tcW w:w="7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cash and cash equivalents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129,617</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329,337</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6" w:name="page57"/>
    <w:bookmarkEnd w:id="56"/>
    <w:p>
      <w:pPr>
        <w:jc w:val="both"/>
        <w:spacing w:after="0" w:line="263" w:lineRule="auto"/>
        <w:rPr>
          <w:sz w:val="20"/>
          <w:szCs w:val="20"/>
          <w:color w:val="auto"/>
        </w:rPr>
      </w:pPr>
      <w:r>
        <w:rPr>
          <w:rFonts w:ascii="Arial" w:cs="Arial" w:eastAsia="Arial" w:hAnsi="Arial"/>
          <w:sz w:val="18"/>
          <w:szCs w:val="18"/>
          <w:color w:val="auto"/>
        </w:rPr>
        <w:t xml:space="preserve">The amount of cash and cash equivalents held by foreign subsidiaries is subject to translation adjustments caused by changes in foreign currency exchange rates as of the end of each respective reporting period, the offset to which is recorded in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on our consolidated balance sheets.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 Credit Facility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an amended and restated Credit Agreement, which provides for an $850,000 senior secured revolving loan facility with a maturity date of November 15, 2025 and a $200,000 senior secured term loan as described further below (the “Credit Facility”).</w:t>
      </w:r>
    </w:p>
    <w:p>
      <w:pPr>
        <w:spacing w:after="0" w:line="170"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Our $200,000 senior secured term loan has a maturity of November 15, 2025 (the “2021 Term Loan”). The 2021 Term Loan requires principal repayment at the end of each calendar quarter. Beginning with March 31, 2022 and ending with December 31, 2023, we are required to repay $1,250 per quarter. Beginning with March 31, 2024 and ending with the last such date prior to the maturity date, we are required to repay $2,500 per quarter. We incurred $540 of debt issuance costs related to the 2021 Term Loan. We used borrowings under the 2021 Term Loan to pay down borrowings under the swingline sub</w:t>
      </w:r>
      <w:r>
        <w:rPr>
          <w:rFonts w:ascii="MS PGothic" w:cs="MS PGothic" w:eastAsia="MS PGothic" w:hAnsi="MS PGothic"/>
          <w:sz w:val="18"/>
          <w:szCs w:val="18"/>
          <w:color w:val="auto"/>
        </w:rPr>
        <w:t>‑</w:t>
      </w:r>
      <w:r>
        <w:rPr>
          <w:rFonts w:ascii="Arial" w:cs="Arial" w:eastAsia="Arial" w:hAnsi="Arial"/>
          <w:sz w:val="18"/>
          <w:szCs w:val="18"/>
          <w:color w:val="auto"/>
        </w:rPr>
        <w:t>facility and revolving loan facility under the Credit Facility.</w:t>
      </w:r>
    </w:p>
    <w:p>
      <w:pPr>
        <w:spacing w:after="0" w:line="205"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In addition to the senior secured revolving loan facility, the Credit Facility also provides up to $50,000 of letters of credit and other borrowings subject to availability, including a $85,000 U.S. Dollar swingline sub</w:t>
      </w:r>
      <w:r>
        <w:rPr>
          <w:rFonts w:ascii="MS PGothic" w:cs="MS PGothic" w:eastAsia="MS PGothic" w:hAnsi="MS PGothic"/>
          <w:sz w:val="18"/>
          <w:szCs w:val="18"/>
          <w:color w:val="auto"/>
        </w:rPr>
        <w:t>‑</w:t>
      </w:r>
      <w:r>
        <w:rPr>
          <w:rFonts w:ascii="Arial" w:cs="Arial" w:eastAsia="Arial" w:hAnsi="Arial"/>
          <w:sz w:val="18"/>
          <w:szCs w:val="18"/>
          <w:color w:val="auto"/>
        </w:rPr>
        <w:t>facility and a $200,000 incremental “accordion” sub</w:t>
      </w:r>
      <w:r>
        <w:rPr>
          <w:rFonts w:ascii="MS PGothic" w:cs="MS PGothic" w:eastAsia="MS PGothic" w:hAnsi="MS PGothic"/>
          <w:sz w:val="18"/>
          <w:szCs w:val="18"/>
          <w:color w:val="auto"/>
        </w:rPr>
        <w:t>‑</w:t>
      </w:r>
      <w:r>
        <w:rPr>
          <w:rFonts w:ascii="Arial" w:cs="Arial" w:eastAsia="Arial" w:hAnsi="Arial"/>
          <w:sz w:val="18"/>
          <w:szCs w:val="18"/>
          <w:color w:val="auto"/>
        </w:rPr>
        <w:t>facility. We had $150 of letters of credit and surety bonds outstanding as of March 31, 2022 and December 31, 2021. As of March 31, 2022 and December 31, 2021, we had $409,634 and $849,850, respectively, available under the Credit Facility.</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Borrowings under the Credit Facility are guaranteed by all of our first tier domestic subsidiaries and are secured by a first priority security interest in substantially all of our and the guarantors’ U.S. assets and 65% of the stock of their directly owned foreign subsidiaries. The Credit Facility contains both affirmative and negative covenants, including maximum net leverage ratios. As of March 31, 2022 and December 31, 2021, we were in compliance with all covenants in our Credit Facility.</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Interest rate risk associated with the Credit Facility is managed through an interest rate swap which has a termination date of April 2, 2030. Under the terms of the interest rate swap, we fixed our London Interbank Offered Rate borrowing rate at 0.73% on a notional amount of $200,000. The interest rate swap is not designated as a hedging instrument for accounting purposes. We account for the interest rate swap as either an asset or a liability in the consolidated balance sheets and carry the derivative at fair value. Gains and losses from the change in fair value are recognized in </w:t>
      </w:r>
      <w:r>
        <w:rPr>
          <w:rFonts w:ascii="Arial" w:cs="Arial" w:eastAsia="Arial" w:hAnsi="Arial"/>
          <w:sz w:val="18"/>
          <w:szCs w:val="18"/>
          <w:i w:val="1"/>
          <w:iCs w:val="1"/>
          <w:color w:val="auto"/>
        </w:rPr>
        <w:t>Other income, net</w:t>
      </w:r>
      <w:r>
        <w:rPr>
          <w:rFonts w:ascii="Arial" w:cs="Arial" w:eastAsia="Arial" w:hAnsi="Arial"/>
          <w:sz w:val="18"/>
          <w:szCs w:val="18"/>
          <w:color w:val="auto"/>
        </w:rPr>
        <w:t xml:space="preserve"> in the consolidated statements of operations. As of March 31, 2022 and December 31, 2021, we recorded a swap related asset at fair value of $22,201 and $10,117, respectively, in </w:t>
      </w:r>
      <w:r>
        <w:rPr>
          <w:rFonts w:ascii="Arial" w:cs="Arial" w:eastAsia="Arial" w:hAnsi="Arial"/>
          <w:sz w:val="18"/>
          <w:szCs w:val="18"/>
          <w:i w:val="1"/>
          <w:iCs w:val="1"/>
          <w:color w:val="auto"/>
        </w:rPr>
        <w:t>Other assets</w:t>
      </w:r>
      <w:r>
        <w:rPr>
          <w:rFonts w:ascii="Arial" w:cs="Arial" w:eastAsia="Arial" w:hAnsi="Arial"/>
          <w:sz w:val="18"/>
          <w:szCs w:val="18"/>
          <w:color w:val="auto"/>
        </w:rPr>
        <w:t xml:space="preserve"> in the consolidated balance sheets.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interest rate under the Credit Facility was 2.32% and 1.90% for the three months ended March 31, 2022 and 2021,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25"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i w:val="1"/>
          <w:iCs w:val="1"/>
          <w:color w:val="auto"/>
        </w:rPr>
        <w:t xml:space="preserve">2027 Notes. </w:t>
      </w:r>
      <w:r>
        <w:rPr>
          <w:rFonts w:ascii="Arial" w:cs="Arial" w:eastAsia="Arial" w:hAnsi="Arial"/>
          <w:sz w:val="16"/>
          <w:szCs w:val="16"/>
          <w:color w:val="auto"/>
        </w:rPr>
        <w:t>On June 28, 2021, we completed a private offering of $575,000 of 0.375% convertible senior notes due 2027 (the “2027 Notes”). The</w:t>
      </w:r>
      <w:r>
        <w:rPr>
          <w:rFonts w:ascii="Arial" w:cs="Arial" w:eastAsia="Arial" w:hAnsi="Arial"/>
          <w:sz w:val="16"/>
          <w:szCs w:val="16"/>
          <w:i w:val="1"/>
          <w:iCs w:val="1"/>
          <w:color w:val="auto"/>
        </w:rPr>
        <w:t xml:space="preserve"> </w:t>
      </w:r>
      <w:r>
        <w:rPr>
          <w:rFonts w:ascii="Arial" w:cs="Arial" w:eastAsia="Arial" w:hAnsi="Arial"/>
          <w:sz w:val="16"/>
          <w:szCs w:val="16"/>
          <w:color w:val="auto"/>
        </w:rPr>
        <w:t>2027 Notes were issued pursuant to an indenture, dated as of June 28, 2021, between the Company and Wilmington Trust, National Association, as trustee (the “2027 Indenture”). Interest will accrue from June 28, 2021 and will be payable semi</w:t>
      </w:r>
      <w:r>
        <w:rPr>
          <w:rFonts w:ascii="MS PGothic" w:cs="MS PGothic" w:eastAsia="MS PGothic" w:hAnsi="MS PGothic"/>
          <w:sz w:val="16"/>
          <w:szCs w:val="16"/>
          <w:color w:val="auto"/>
        </w:rPr>
        <w:t>‑</w:t>
      </w:r>
      <w:r>
        <w:rPr>
          <w:rFonts w:ascii="Arial" w:cs="Arial" w:eastAsia="Arial" w:hAnsi="Arial"/>
          <w:sz w:val="16"/>
          <w:szCs w:val="16"/>
          <w:color w:val="auto"/>
        </w:rPr>
        <w:t>annually in arrears in cash on January 1 and July 1 of each year, with the first payment due on January 1, 2022. The 2027 Notes will mature on July 1, 2027, unless earlier converted, redeemed or repurchased. We incurred $15,065 of expenses in connection with the 2027 Notes offering consisting of the payment of initial purchasers’ discounts and commissions, professional fees, and other expenses (“transaction costs”). We used $25,875 of the net proceeds from the sale of the 2027 Notes to pay the premiums of the capped call options described further below, and $536,062 to repay outstanding indebtedness under the Credit Facility and to pay related fees and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7" w:name="page58"/>
    <w:bookmarkEnd w:id="57"/>
    <w:p>
      <w:pPr>
        <w:jc w:val="both"/>
        <w:spacing w:after="0" w:line="269" w:lineRule="auto"/>
        <w:rPr>
          <w:sz w:val="20"/>
          <w:szCs w:val="20"/>
          <w:color w:val="auto"/>
        </w:rPr>
      </w:pPr>
      <w:r>
        <w:rPr>
          <w:rFonts w:ascii="Arial" w:cs="Arial" w:eastAsia="Arial" w:hAnsi="Arial"/>
          <w:sz w:val="17"/>
          <w:szCs w:val="17"/>
          <w:color w:val="auto"/>
        </w:rPr>
        <w:t>Prior to April 1, 2027, the 2027 Notes will be convertible at the option of the holder only under the following circumstances: (1) during any calendar quarter (and only during such quarter) commencing after the calendar quarter ending on September 30, 2021, if the last reported sale price per share of our Class B Common Stock exceeds 130% of the conversion price for each of at least 20 trading days, whether or not consecutive, during the 30 consecutive trading days ending on, and including, the last trading day of the immediately preceding calendar quarter; (2) during the five consecutive business days immediately after any ten consecutive trading day period (such ten consecutive trading day period, the “measurement period”) in which the trading price per $1 principal amount of 2027 Notes for each trading day of the measurement period was less than 98% of the product of the last reported sale price per share of our Class B Common Stock on such trading day and the conversion rate on such trading day; (3) upon the occurrence of certain corporate events or distributions on our Class B Common Stock, as described in the 2027 Indenture; and (4) if we call the 2027 Notes for redemption. On or after April 1, 2027 until 5:00 p.m., New York City time, on the second scheduled trading day immediately before the maturity date, the 2027 Notes will be convertible at the option of the holder at any time.</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will settle conversions by paying or delivering, as applicable, cash, shares of our Class B Common Stock or a combination of cash and shares of our Class B Common Stock, at our election, based on the applicable conversion rate. The initial conversion rate is 12.0153 shares of our Class B Common Stock per $1 principal amount of 2027 Notes, which represents an initial conversion price of approximately $83.23 per share, and is subject to adjustment as described in the 2027 Indenture. If a “make-whole fundamental change” (as defined in the 2027 Indenture) occurs, then we will, in certain circumstances, increase the conversion rate for a specified period of time.</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will have the option to redeem the 2027 Notes in whole or in part at any time on or after July 5, 2024 and on or before the 40th scheduled trading day immediately before the maturity date if the last reported sale price per share of our Class B common stock exceeds 130% of the conversion price on</w:t>
      </w:r>
    </w:p>
    <w:p>
      <w:pPr>
        <w:jc w:val="both"/>
        <w:ind w:firstLine="8"/>
        <w:spacing w:after="0" w:line="253" w:lineRule="auto"/>
        <w:tabs>
          <w:tab w:leader="none" w:pos="288"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of at least 20 trading days, whether or not consecutive, during any 30 consecutive trading days ending on, and including, the trading day immediately before the date we send the related redemption notice; and (2) the trading day immediately before the date we send such notice. The redemption price will be equal to the principal amount of the 2027 Notes to be redeemed, plus accrued and unpaid interest, if any, to, but excluding, the redemption date.</w:t>
      </w:r>
    </w:p>
    <w:p>
      <w:pPr>
        <w:spacing w:after="0" w:line="193"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Upon a fundamental change (as defined in the 2027 Indenture), holders may, subject to certain exceptions, require us to purchase their 2027 Notes in whole or in part for cash at a price equal to the principal amount of the 2027 Notes to be purchased, plus accrued and unpaid interest, if any, to, but excluding, the fundamental change repurchase date (as defined in the 2027 Indenture). In addition, upon a Make</w:t>
      </w:r>
      <w:r>
        <w:rPr>
          <w:rFonts w:ascii="MS PGothic" w:cs="MS PGothic" w:eastAsia="MS PGothic" w:hAnsi="MS PGothic"/>
          <w:sz w:val="16"/>
          <w:szCs w:val="16"/>
          <w:color w:val="auto"/>
        </w:rPr>
        <w:t>‑</w:t>
      </w:r>
      <w:r>
        <w:rPr>
          <w:rFonts w:ascii="Arial" w:cs="Arial" w:eastAsia="Arial" w:hAnsi="Arial"/>
          <w:sz w:val="16"/>
          <w:szCs w:val="16"/>
          <w:color w:val="auto"/>
        </w:rPr>
        <w:t>Whole Fundamental Change (as defined in the 2027 Indenture), we will, under certain circumstances, increase the applicable conversion rate for a holder that elects to convert its 2027 Notes in connection with such Make</w:t>
      </w:r>
      <w:r>
        <w:rPr>
          <w:rFonts w:ascii="MS PGothic" w:cs="MS PGothic" w:eastAsia="MS PGothic" w:hAnsi="MS PGothic"/>
          <w:sz w:val="16"/>
          <w:szCs w:val="16"/>
          <w:color w:val="auto"/>
        </w:rPr>
        <w:t>‑</w:t>
      </w:r>
      <w:r>
        <w:rPr>
          <w:rFonts w:ascii="Arial" w:cs="Arial" w:eastAsia="Arial" w:hAnsi="Arial"/>
          <w:sz w:val="16"/>
          <w:szCs w:val="16"/>
          <w:color w:val="auto"/>
        </w:rPr>
        <w:t>Whole Fundamental Change. No adjustment to the conversion rate will be made if the stock price in such Make</w:t>
      </w:r>
      <w:r>
        <w:rPr>
          <w:rFonts w:ascii="MS PGothic" w:cs="MS PGothic" w:eastAsia="MS PGothic" w:hAnsi="MS PGothic"/>
          <w:sz w:val="16"/>
          <w:szCs w:val="16"/>
          <w:color w:val="auto"/>
        </w:rPr>
        <w:t>‑</w:t>
      </w:r>
      <w:r>
        <w:rPr>
          <w:rFonts w:ascii="Arial" w:cs="Arial" w:eastAsia="Arial" w:hAnsi="Arial"/>
          <w:sz w:val="16"/>
          <w:szCs w:val="16"/>
          <w:color w:val="auto"/>
        </w:rPr>
        <w:t>Whole Fundamental Change is either less than $61.65 per share or greater than $325.00 per share. We will not increase the conversion rate to an amount that exceeds 16.2206 shares per $1 principal amount of 2027 Notes, subject to adjustment. The 2027 Indenture also contains a customary merger covenant.</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2027 Notes were accounted for as debt, with no bifurcation of the embedded conversion feature. Transaction costs were recorded as a direct deduction from the related debt liability in the consolidated balance sheet and are amortized to interest expense over the term of the 2027 Notes. The effective interest rate for the 2027 Notes is 0.864%.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2022, none of the conditions of the 2027 Notes to early convert has been met.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2027 Notes contain both affirmative and negative covenants. As of March 31, 2022, we were in compliance with all covenants in the 2027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8" w:name="page59"/>
    <w:bookmarkEnd w:id="58"/>
    <w:p>
      <w:pPr>
        <w:jc w:val="both"/>
        <w:spacing w:after="0" w:line="293" w:lineRule="auto"/>
        <w:rPr>
          <w:sz w:val="20"/>
          <w:szCs w:val="20"/>
          <w:color w:val="auto"/>
        </w:rPr>
      </w:pPr>
      <w:r>
        <w:rPr>
          <w:rFonts w:ascii="Arial" w:cs="Arial" w:eastAsia="Arial" w:hAnsi="Arial"/>
          <w:sz w:val="16"/>
          <w:szCs w:val="16"/>
          <w:i w:val="1"/>
          <w:iCs w:val="1"/>
          <w:color w:val="auto"/>
        </w:rPr>
        <w:t xml:space="preserve">Capped Call Options. </w:t>
      </w:r>
      <w:r>
        <w:rPr>
          <w:rFonts w:ascii="Arial" w:cs="Arial" w:eastAsia="Arial" w:hAnsi="Arial"/>
          <w:sz w:val="16"/>
          <w:szCs w:val="16"/>
          <w:color w:val="auto"/>
        </w:rPr>
        <w:t>In connection with the pricing of the 2027 Notes, we entered into capped call options with certain of the initial purchasers or their</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 affiliates and certain other financial institutions. We incurred $50 of expenses in connection with the capped call options. The capped call options are expected to reduce potential dilution to our Class B Common Stock upon any conversion of 2027 Notes and/or offset any cash payments we are required to make in excess of the principal amount of converted notes, as the case may be, with such reduction and/or offset subject to a cap. The cap price of the capped call options is initially $95.5575 per share, which represents a premium of 55% above the last reported sale price per share of our Class B Common Stock on the Nasdaq Global Select Market on June 23, 2021 and is subject to customary adjustments under the terms of the capped call options.</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The capped call options were entered into in conjunction with the issuance of the 2027 Notes, however, they are legally separate agreements that can be separately exercised, with the receipt of shares under the capped call options having no effect on the 2027 Notes, and are legally detachable. As the capped call options are both legally detachable and separately exercisable from the 2027 Notes, we account for the capped call options separately from the 2027 Notes. The capped call options are indexed to our own common stock and classified in stockholders’ equity. As such, the premiums paid for the capped call options have been included as a net reduction to </w:t>
      </w:r>
      <w:r>
        <w:rPr>
          <w:rFonts w:ascii="Arial" w:cs="Arial" w:eastAsia="Arial" w:hAnsi="Arial"/>
          <w:sz w:val="17"/>
          <w:szCs w:val="17"/>
          <w:i w:val="1"/>
          <w:iCs w:val="1"/>
          <w:color w:val="auto"/>
        </w:rPr>
        <w:t>Additional paid-in capital</w:t>
      </w:r>
      <w:r>
        <w:rPr>
          <w:rFonts w:ascii="Arial" w:cs="Arial" w:eastAsia="Arial" w:hAnsi="Arial"/>
          <w:sz w:val="17"/>
          <w:szCs w:val="17"/>
          <w:color w:val="auto"/>
        </w:rPr>
        <w:t xml:space="preserve"> in the consolidated balance sheet.</w:t>
      </w:r>
    </w:p>
    <w:p>
      <w:pPr>
        <w:spacing w:after="0" w:line="176"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i w:val="1"/>
          <w:iCs w:val="1"/>
          <w:color w:val="auto"/>
        </w:rPr>
        <w:t xml:space="preserve">2026 Notes. </w:t>
      </w:r>
      <w:r>
        <w:rPr>
          <w:rFonts w:ascii="Arial" w:cs="Arial" w:eastAsia="Arial" w:hAnsi="Arial"/>
          <w:sz w:val="17"/>
          <w:szCs w:val="17"/>
          <w:color w:val="auto"/>
        </w:rPr>
        <w:t>On January 26, 2021, we completed a private offering of $690,000 of 0.125% convertible senior notes due 2026 (the “2026 Notes”). The</w:t>
      </w:r>
      <w:r>
        <w:rPr>
          <w:rFonts w:ascii="Arial" w:cs="Arial" w:eastAsia="Arial" w:hAnsi="Arial"/>
          <w:sz w:val="17"/>
          <w:szCs w:val="17"/>
          <w:i w:val="1"/>
          <w:iCs w:val="1"/>
          <w:color w:val="auto"/>
        </w:rPr>
        <w:t xml:space="preserve"> </w:t>
      </w:r>
      <w:r>
        <w:rPr>
          <w:rFonts w:ascii="Arial" w:cs="Arial" w:eastAsia="Arial" w:hAnsi="Arial"/>
          <w:sz w:val="17"/>
          <w:szCs w:val="17"/>
          <w:color w:val="auto"/>
        </w:rPr>
        <w:t>2026 Notes were issued pursuant to an indenture, dated as of January 26, 2021, between the Company and Wilmington Trust, National Association, as trustee (the “2026 Indenture”). Interest will accrue from January 26, 2021 and will be payable semi</w:t>
      </w:r>
      <w:r>
        <w:rPr>
          <w:rFonts w:ascii="MS PGothic" w:cs="MS PGothic" w:eastAsia="MS PGothic" w:hAnsi="MS PGothic"/>
          <w:sz w:val="17"/>
          <w:szCs w:val="17"/>
          <w:color w:val="auto"/>
        </w:rPr>
        <w:t>‑</w:t>
      </w:r>
      <w:r>
        <w:rPr>
          <w:rFonts w:ascii="Arial" w:cs="Arial" w:eastAsia="Arial" w:hAnsi="Arial"/>
          <w:sz w:val="17"/>
          <w:szCs w:val="17"/>
          <w:color w:val="auto"/>
        </w:rPr>
        <w:t>annually in arrears in cash on January 15 and July 15 of each year, with the first payment due on July 15, 2021. The 2026 Notes will mature on January 15, 2026, unless earlier converted, redeemed or repurchased. We incurred $18,055 of expenses in connection with the 2026 Notes offering consisting of transaction costs. We used $25,530 of the net proceeds from the sale of the 2026 Notes to pay the premiums of the capped call options described further below, and approximately $250,500 to repay outstanding indebtedness under the Credit Facility and to pay related fees and expenses. We used the remainder of the net proceeds from the sale of the 2026 Notes for general corporate purposes and towards funding certain acquisitions, including Seequent.</w:t>
      </w:r>
    </w:p>
    <w:p>
      <w:pPr>
        <w:spacing w:after="0" w:line="20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Prior to October 15, 2025, the 2026 Notes will be convertible at the option of the holder only under the following circumstances: (1) during any calendar quarter (and only during such quarter) commencing after the calendar quarter ending on June 30, 2021, if the last reported sale price per share of our Class B Common Stock exceeds 130% of the conversion price for each of at least 20 trading days, whether or not consecutive, during the 30 consecutive trading days ending on, and including, the last trading day of the immediately preceding calendar quarter; (2) during the five consecutive business days immediately after any ten consecutive trading day period (such ten consecutive trading day period, the “measurement period”) in which the trading price per $1 principal amount of 2026 Notes for each trading day of the measurement period was less than 98% of the product of the last reported sale price per share of our Class B Common Stock on such trading day and the conversion rate on such trading day; (3) upon the occurrence of certain corporate events or distributions on our Class B Common Stock, as described in the 2026 Indenture; and (4) if we call the 2026 Notes for redemption. On or after October 15, 2025 until 5:00 p.m., New York City time, on the second scheduled trading day immediately before the maturity date, the 2026 Notes will be convertible at the option of the holder at any time.</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will settle conversions by paying or delivering, as applicable, cash, shares of our Class B Common Stock or a combination of cash and shares of our Class B Common Stock, at our election, based on the applicable conversion rate. The initial conversion rate is 15.5925 shares of our Class B Common Stock per $1 principal amount of 2026 Notes, which represents an initial conversion price of approximately $64.13 per share, and is subject to adjustment as described in the 2026 Indenture. If a “make-whole fundamental change” (as defined in the 2026 Indenture) occurs, then we will, in certain circumstances, increase the conversion rate for a specified period of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9" w:name="page60"/>
    <w:bookmarkEnd w:id="59"/>
    <w:p>
      <w:pPr>
        <w:spacing w:after="0" w:line="291" w:lineRule="auto"/>
        <w:rPr>
          <w:sz w:val="20"/>
          <w:szCs w:val="20"/>
          <w:color w:val="auto"/>
        </w:rPr>
      </w:pPr>
      <w:r>
        <w:rPr>
          <w:rFonts w:ascii="Arial" w:cs="Arial" w:eastAsia="Arial" w:hAnsi="Arial"/>
          <w:sz w:val="16"/>
          <w:szCs w:val="16"/>
          <w:color w:val="auto"/>
        </w:rPr>
        <w:t>We will have the option to redeem the 2026 Notes in whole or in part at any time on or after January 20, 2024 and on or before the 40th scheduled trading day immediately before the maturity date if the last reported sale price per share of our Class B common stock exceeds 130% of the conversion price on</w:t>
      </w:r>
    </w:p>
    <w:p>
      <w:pPr>
        <w:jc w:val="both"/>
        <w:ind w:firstLine="8"/>
        <w:spacing w:after="0" w:line="253" w:lineRule="auto"/>
        <w:tabs>
          <w:tab w:leader="none" w:pos="288"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of at least 20 trading days, whether or not consecutive, during any 30 consecutive trading days ending on, and including, the trading day immediately before the date we send the related redemption notice; and (2) the trading day immediately before the date we send such notice. The redemption price will be equal to the principal amount of the 2026 Notes to be redeemed, plus accrued and unpaid interest, if any, to, but excluding, the redemption date.</w:t>
      </w:r>
    </w:p>
    <w:p>
      <w:pPr>
        <w:spacing w:after="0" w:line="193"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Upon a fundamental change (as defined in the 2026 Indenture), holders may, subject to certain exceptions, require us to purchase their 2026 Notes in whole or in part for cash at a price equal to the principal amount of the 2026 Notes to be purchased, plus accrued and unpaid interest, if any, to, but excluding, the fundamental change repurchase date (as defined in the 2026 Indenture). In addition, upon a Make</w:t>
      </w:r>
      <w:r>
        <w:rPr>
          <w:rFonts w:ascii="MS PGothic" w:cs="MS PGothic" w:eastAsia="MS PGothic" w:hAnsi="MS PGothic"/>
          <w:sz w:val="16"/>
          <w:szCs w:val="16"/>
          <w:color w:val="auto"/>
        </w:rPr>
        <w:t>‑</w:t>
      </w:r>
      <w:r>
        <w:rPr>
          <w:rFonts w:ascii="Arial" w:cs="Arial" w:eastAsia="Arial" w:hAnsi="Arial"/>
          <w:sz w:val="16"/>
          <w:szCs w:val="16"/>
          <w:color w:val="auto"/>
        </w:rPr>
        <w:t>Whole Fundamental Change (as defined in the 2026 Indenture), we will, under certain circumstances, increase the applicable conversion rate for a holder that elects to convert its 2026 Notes in connection with such Make</w:t>
      </w:r>
      <w:r>
        <w:rPr>
          <w:rFonts w:ascii="MS PGothic" w:cs="MS PGothic" w:eastAsia="MS PGothic" w:hAnsi="MS PGothic"/>
          <w:sz w:val="16"/>
          <w:szCs w:val="16"/>
          <w:color w:val="auto"/>
        </w:rPr>
        <w:t>‑</w:t>
      </w:r>
      <w:r>
        <w:rPr>
          <w:rFonts w:ascii="Arial" w:cs="Arial" w:eastAsia="Arial" w:hAnsi="Arial"/>
          <w:sz w:val="16"/>
          <w:szCs w:val="16"/>
          <w:color w:val="auto"/>
        </w:rPr>
        <w:t>Whole Fundamental Change. No adjustment to the conversion rate will be made if the stock price in such Make</w:t>
      </w:r>
      <w:r>
        <w:rPr>
          <w:rFonts w:ascii="MS PGothic" w:cs="MS PGothic" w:eastAsia="MS PGothic" w:hAnsi="MS PGothic"/>
          <w:sz w:val="16"/>
          <w:szCs w:val="16"/>
          <w:color w:val="auto"/>
        </w:rPr>
        <w:t>‑</w:t>
      </w:r>
      <w:r>
        <w:rPr>
          <w:rFonts w:ascii="Arial" w:cs="Arial" w:eastAsia="Arial" w:hAnsi="Arial"/>
          <w:sz w:val="16"/>
          <w:szCs w:val="16"/>
          <w:color w:val="auto"/>
        </w:rPr>
        <w:t>Whole Fundamental Change is either less than $44.23 per share or greater than $210.00 per share. We will not increase the conversion rate to an amount that exceeds 22.6090 shares per $1 principal amount of 2026 Notes, subject to adjustment. The 2026 Indenture also contains a customary merger covenant.</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2026 Notes were accounted for as debt, with no bifurcation of the embedded conversion feature. Transaction costs were recorded as a direct deduction from the related debt liability in the consolidated balance sheet and are amortized to interest expense over the term of the 2026 Notes. The effective interest rate for the 2026 Notes is 0.658%.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2022, none of the conditions of the 2026 Notes to early convert has been met.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2026 Notes contain both affirmative and negative covenants. As of March 31, 2022, we were in compliance with all covenants in the 2026 Notes.</w:t>
      </w:r>
    </w:p>
    <w:p>
      <w:pPr>
        <w:spacing w:after="0" w:line="23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Capped Call Options</w:t>
      </w:r>
      <w:r>
        <w:rPr>
          <w:rFonts w:ascii="Arial" w:cs="Arial" w:eastAsia="Arial" w:hAnsi="Arial"/>
          <w:sz w:val="18"/>
          <w:szCs w:val="18"/>
          <w:color w:val="auto"/>
        </w:rPr>
        <w:t>. In connection with the pricing of the 2026 Notes, we entered into capped call options with certain of the initial purchasers or their</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 affiliates and certain other financial institutions. We incurred $150 of expenses in connection with the capped call options. The capped call options are expected to reduce potential dilution to our Class B Common Stock upon any conversion of 2026 Notes and/or offset any cash payments we are required to make in excess of the principal amount of converted notes, as the case may be, with such reduction and/or offset subject to a cap. The cap price of the capped call options is initially $72.9795 per share, which represents a premium of 65% above the last reported sale price per share of our Class B Common Stock on the Nasdaq Global Select Market on January 21, 2021 and is subject to customary adjustments under the terms of the capped call options.</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The capped call options were entered into in conjunction with the issuance of the 2026 Notes, however, they are legally separate agreements that can be separately exercised, with the receipt of shares under the capped call options having no effect on the 2026 Notes, and are legally detachable. As the capped call options are both legally detachable and separately exercisable from the 2026 Notes, we account for the capped call options separately from the 2026 Notes. The capped call options are indexed to our own common stock and classified in stockholders’ equity. As such, the premiums paid for the capped call options have been included as a net reduction to </w:t>
      </w:r>
      <w:r>
        <w:rPr>
          <w:rFonts w:ascii="Arial" w:cs="Arial" w:eastAsia="Arial" w:hAnsi="Arial"/>
          <w:sz w:val="17"/>
          <w:szCs w:val="17"/>
          <w:i w:val="1"/>
          <w:iCs w:val="1"/>
          <w:color w:val="auto"/>
        </w:rPr>
        <w:t>Additional paid-in capital</w:t>
      </w:r>
      <w:r>
        <w:rPr>
          <w:rFonts w:ascii="Arial" w:cs="Arial" w:eastAsia="Arial" w:hAnsi="Arial"/>
          <w:sz w:val="17"/>
          <w:szCs w:val="17"/>
          <w:color w:val="auto"/>
        </w:rPr>
        <w:t xml:space="preserve"> in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2022 and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activities for the three months ended March 31, 2022 and 2021:</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78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2021</w:t>
            </w:r>
          </w:p>
        </w:tc>
      </w:tr>
      <w:tr>
        <w:trPr>
          <w:trHeight w:val="212"/>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70"/>
        </w:trPr>
        <w:tc>
          <w:tcPr>
            <w:tcW w:w="786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center"/>
              <w:ind w:left="394"/>
              <w:spacing w:after="0"/>
              <w:rPr>
                <w:sz w:val="20"/>
                <w:szCs w:val="20"/>
                <w:color w:val="auto"/>
              </w:rPr>
            </w:pPr>
            <w:r>
              <w:rPr>
                <w:rFonts w:ascii="Arial" w:cs="Arial" w:eastAsia="Arial" w:hAnsi="Arial"/>
                <w:sz w:val="18"/>
                <w:szCs w:val="18"/>
                <w:color w:val="auto"/>
                <w:w w:val="89"/>
              </w:rPr>
              <w:t>101,731</w:t>
            </w:r>
          </w:p>
        </w:tc>
        <w:tc>
          <w:tcPr>
            <w:tcW w:w="26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ind w:left="540"/>
              <w:spacing w:after="0"/>
              <w:rPr>
                <w:sz w:val="20"/>
                <w:szCs w:val="20"/>
                <w:color w:val="auto"/>
              </w:rPr>
            </w:pPr>
            <w:r>
              <w:rPr>
                <w:rFonts w:ascii="Arial" w:cs="Arial" w:eastAsia="Arial" w:hAnsi="Arial"/>
                <w:sz w:val="18"/>
                <w:szCs w:val="18"/>
                <w:color w:val="auto"/>
                <w:w w:val="98"/>
              </w:rPr>
              <w:t>132,798</w:t>
            </w:r>
          </w:p>
        </w:tc>
      </w:tr>
      <w:tr>
        <w:trPr>
          <w:trHeight w:val="270"/>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center"/>
              <w:ind w:left="374"/>
              <w:spacing w:after="0"/>
              <w:rPr>
                <w:sz w:val="20"/>
                <w:szCs w:val="20"/>
                <w:color w:val="auto"/>
              </w:rPr>
            </w:pPr>
            <w:r>
              <w:rPr>
                <w:rFonts w:ascii="Arial" w:cs="Arial" w:eastAsia="Arial" w:hAnsi="Arial"/>
                <w:sz w:val="18"/>
                <w:szCs w:val="18"/>
                <w:color w:val="auto"/>
                <w:w w:val="93"/>
              </w:rPr>
              <w:t>(700,575)</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2"/>
              </w:rPr>
              <w:t>(60,630)</w:t>
            </w:r>
          </w:p>
        </w:tc>
      </w:tr>
      <w:tr>
        <w:trPr>
          <w:trHeight w:val="270"/>
        </w:trPr>
        <w:tc>
          <w:tcPr>
            <w:tcW w:w="786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40" w:type="dxa"/>
            <w:vAlign w:val="bottom"/>
          </w:tcPr>
          <w:p>
            <w:pPr>
              <w:spacing w:after="0"/>
              <w:rPr>
                <w:sz w:val="23"/>
                <w:szCs w:val="23"/>
                <w:color w:val="auto"/>
              </w:rPr>
            </w:pPr>
          </w:p>
        </w:tc>
        <w:tc>
          <w:tcPr>
            <w:tcW w:w="1220" w:type="dxa"/>
            <w:vAlign w:val="bottom"/>
          </w:tcPr>
          <w:p>
            <w:pPr>
              <w:jc w:val="center"/>
              <w:ind w:left="394"/>
              <w:spacing w:after="0"/>
              <w:rPr>
                <w:sz w:val="20"/>
                <w:szCs w:val="20"/>
                <w:color w:val="auto"/>
              </w:rPr>
            </w:pPr>
            <w:r>
              <w:rPr>
                <w:rFonts w:ascii="Arial" w:cs="Arial" w:eastAsia="Arial" w:hAnsi="Arial"/>
                <w:sz w:val="18"/>
                <w:szCs w:val="18"/>
                <w:color w:val="auto"/>
                <w:w w:val="89"/>
              </w:rPr>
              <w:t>399,931</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ind w:left="540"/>
              <w:spacing w:after="0"/>
              <w:rPr>
                <w:sz w:val="20"/>
                <w:szCs w:val="20"/>
                <w:color w:val="auto"/>
              </w:rPr>
            </w:pPr>
            <w:r>
              <w:rPr>
                <w:rFonts w:ascii="Arial" w:cs="Arial" w:eastAsia="Arial" w:hAnsi="Arial"/>
                <w:sz w:val="18"/>
                <w:szCs w:val="18"/>
                <w:color w:val="auto"/>
                <w:w w:val="98"/>
              </w:rPr>
              <w:t>372,137</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Net cash provided by operating activities was $101,731 for the three months ended March 31, 2022. Compared to the same period in the prior year, net cash provided by operating activities was lower by $31,067 due to a net decrease in net cash flows from the change in operating assets and liabilities of $49,851 and a decrease in net income of $618, partially offset by a net increase in non</w:t>
      </w:r>
      <w:r>
        <w:rPr>
          <w:rFonts w:ascii="MS PGothic" w:cs="MS PGothic" w:eastAsia="MS PGothic" w:hAnsi="MS PGothic"/>
          <w:sz w:val="18"/>
          <w:szCs w:val="18"/>
          <w:color w:val="auto"/>
        </w:rPr>
        <w:t>‑</w:t>
      </w:r>
      <w:r>
        <w:rPr>
          <w:rFonts w:ascii="Arial" w:cs="Arial" w:eastAsia="Arial" w:hAnsi="Arial"/>
          <w:sz w:val="18"/>
          <w:szCs w:val="18"/>
          <w:color w:val="auto"/>
        </w:rPr>
        <w:t>cash adjustments of $19,402. The net decrease in cash flows from the change in operating assets and liabilities was primarily related to lower incremental CSS deposits period over period and the overall timing of tax payments.</w:t>
      </w:r>
    </w:p>
    <w:p>
      <w:pPr>
        <w:spacing w:after="0" w:line="205"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For the three months ended March 31, 2021, net cash provided by operating activities was $132,798 due to net income of $57,006 increased by $8,070 of non</w:t>
      </w:r>
      <w:r>
        <w:rPr>
          <w:rFonts w:ascii="MS PGothic" w:cs="MS PGothic" w:eastAsia="MS PGothic" w:hAnsi="MS PGothic"/>
          <w:sz w:val="18"/>
          <w:szCs w:val="18"/>
          <w:color w:val="auto"/>
        </w:rPr>
        <w:t>‑</w:t>
      </w:r>
      <w:r>
        <w:rPr>
          <w:rFonts w:ascii="Arial" w:cs="Arial" w:eastAsia="Arial" w:hAnsi="Arial"/>
          <w:sz w:val="18"/>
          <w:szCs w:val="18"/>
          <w:color w:val="auto"/>
        </w:rPr>
        <w:t>cash adjustments and $67,722 from changes in operating assets and liabilities.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investing activities was $700,575 for the three months ended March 31, 2022, primarily due to $695,968 in acquisition related payments, net of cash acquired, to complete one acquisition.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2021, net cash used in investing activities was $60,630, primarily due to $57,975 in acquisition related payments, net of cash acquired, to complete three acquisitions.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financing activities was $399,931 for the three months ended March 31, 2022, primarily due to an increase in net borrowings under the Credit Facility of $438,966, partially offset by net payments for shares acquired of $35,117.</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the three months ended March 31, 2021, net cash provided by financing activities was $372,137, primarily due to the net proceeds from the 2026 Notes of $672,750, partially offset by a decrease in net borrowings under the Credit Facility of $246,000 and the purchase of capped call options of $25,530.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 after March 31,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April 2022, we completed one acquisition. The acquisition is not expected to be material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There have been no significant changes in our market risk exposure as described in Part II, Item 7A. Quantitative and Qualitative Disclosures About Market Risk in our 2021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on file with the SEC.</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Effectiveness of Disclosure Controls and Procedures</w:t>
      </w:r>
    </w:p>
    <w:p>
      <w:pPr>
        <w:spacing w:after="0" w:line="225" w:lineRule="exact"/>
        <w:rPr>
          <w:sz w:val="20"/>
          <w:szCs w:val="20"/>
          <w:color w:val="auto"/>
        </w:rPr>
      </w:pPr>
    </w:p>
    <w:p>
      <w:pPr>
        <w:jc w:val="both"/>
        <w:spacing w:after="0" w:line="219" w:lineRule="exact"/>
        <w:rPr>
          <w:sz w:val="20"/>
          <w:szCs w:val="20"/>
          <w:color w:val="auto"/>
        </w:rPr>
      </w:pPr>
      <w:r>
        <w:rPr>
          <w:rFonts w:ascii="Arial" w:cs="Arial" w:eastAsia="Arial" w:hAnsi="Arial"/>
          <w:sz w:val="16"/>
          <w:szCs w:val="16"/>
          <w:color w:val="auto"/>
        </w:rPr>
        <w:t>Our management maintains disclosure controls and procedures as defined in Rules 13a</w:t>
      </w:r>
      <w:r>
        <w:rPr>
          <w:rFonts w:ascii="MS PGothic" w:cs="MS PGothic" w:eastAsia="MS PGothic" w:hAnsi="MS PGothic"/>
          <w:sz w:val="16"/>
          <w:szCs w:val="16"/>
          <w:color w:val="auto"/>
        </w:rPr>
        <w:t>‑</w:t>
      </w:r>
      <w:r>
        <w:rPr>
          <w:rFonts w:ascii="Arial" w:cs="Arial" w:eastAsia="Arial" w:hAnsi="Arial"/>
          <w:sz w:val="16"/>
          <w:szCs w:val="16"/>
          <w:color w:val="auto"/>
        </w:rPr>
        <w:t>15(e) and 15d</w:t>
      </w:r>
      <w:r>
        <w:rPr>
          <w:rFonts w:ascii="MS PGothic" w:cs="MS PGothic" w:eastAsia="MS PGothic" w:hAnsi="MS PGothic"/>
          <w:sz w:val="16"/>
          <w:szCs w:val="16"/>
          <w:color w:val="auto"/>
        </w:rPr>
        <w:t>‑</w:t>
      </w:r>
      <w:r>
        <w:rPr>
          <w:rFonts w:ascii="Arial" w:cs="Arial" w:eastAsia="Arial" w:hAnsi="Arial"/>
          <w:sz w:val="16"/>
          <w:szCs w:val="16"/>
          <w:color w:val="auto"/>
        </w:rPr>
        <w:t>15(e) under the Securities Exchange Act of 1934, as amended (the “Exchange Act”) that are designed to provide reasonable assurance that information required to be disclosed in our reports filed or submitted under the Exchange Act is processed, recorded, summarized, and reported within the time periods specified in the SEC’s rules and forms, and that such information is accumulated and communicated to our management, including our Chief Executive Officer and Chief Financial Officer (our principal executive officer and principal financial officer, respectively), as appropriate, to allow for timely decisions regarding required disclosure.</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evaluated, under the supervision and with the participation of management, including our principal executive and principal financial officers, the effectiveness of the design and operation of our disclosure controls and procedures as of the end of the period covered by this report. Based on this evaluation, our principal executive officer and principal financial officer concluded that, as of March 31, 2022, our disclosure controls and procedures were effective at the reasonable assurance level.</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management, including our Chief Executive Officer and Chief Financial Officer,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Bentley Systems, Incorporated have been detected.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There was no change in our internal control over financial reporting identified in management’s evaluation pursuant to Rules 13a or 15d of the Exchange Act that occurred during the quarter ended March 31, 2022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are subject from time to time to various legal proceedings and claims which arise in the ordinary course of our business. Although the outcome of these and other claims cannot be predicted with certainty, we do not believe that the ultimate resolution of pending matters will have a material adverse effect on our financial condition, results of operations, or cash flows. We currently believe that we do not have any material litigation pending against us.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In addition to other information set forth in this report, you should carefully consider the risk factors described in Part I, Item 1A. Risk Factors in our 2021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on file with the SEC, which could materially affect our business, financial condition or future results. Additional risks and uncertainties not currently known to us or that we currently deem to be immaterial may also materially adversely affect our business, financial condition, or operating results.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From January 1, 2022 to March 31, 2022, we issued 10,881 shares of our Class B Common Stock pursuant to the vesting of restricted stock units.</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January 1, 2022 to March 31, 2022, we issued 809,751 shares of our Class B Common Stock in connection with distributions from our amended and restated Bentley Systems, Incorporated Nonqualified Deferred Compensation Plan.</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From January 1, 2022 to March 31, 2022, we issued 735,000 shares of our Class B Common Stock pursuant to exercised options, which were issued to certain selling shareholder entities in connection with an acquisition completed in March 2018.</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offers, sales, and issuances of these securities were exempt from registration under the Securities Act in reliance upon Rule 701 promulgated under the Securities Act as transactions under compensatory benefit plans and contracts relating to compensation in compliance with Rule 701 or in reliance upon Section 4(a)(2) of the Securities Act as transactions by an issuer not involving any public offering. None of the foregoing transactions involved any underwriters, underwriting discounts or commissions, or any public offering. The issuances of these securities were made without any general solicitation or advertising.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3" w:name="page64"/>
    <w:bookmarkEnd w:id="63"/>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gridSpan w:val="3"/>
          </w:tcPr>
          <w:p>
            <w:pPr>
              <w:spacing w:after="0"/>
              <w:rPr>
                <w:sz w:val="20"/>
                <w:szCs w:val="20"/>
                <w:color w:val="auto"/>
              </w:rPr>
            </w:pPr>
            <w:r>
              <w:rPr>
                <w:rFonts w:ascii="Arial" w:cs="Arial" w:eastAsia="Arial" w:hAnsi="Arial"/>
                <w:sz w:val="18"/>
                <w:szCs w:val="18"/>
                <w:b w:val="1"/>
                <w:bCs w:val="1"/>
                <w:color w:val="auto"/>
                <w:w w:val="96"/>
              </w:rPr>
              <w:t>Item 6. Exhibits</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1280" w:type="dxa"/>
            <w:vAlign w:val="bottom"/>
            <w:gridSpan w:val="2"/>
          </w:tcPr>
          <w:p>
            <w:pPr>
              <w:ind w:left="26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40" w:type="dxa"/>
            <w:vAlign w:val="bottom"/>
            <w:gridSpan w:val="4"/>
            <w:vMerge w:val="restart"/>
          </w:tcPr>
          <w:p>
            <w:pPr>
              <w:ind w:left="41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280" w:type="dxa"/>
            <w:vAlign w:val="bottom"/>
            <w:gridSpan w:val="2"/>
          </w:tcPr>
          <w:p>
            <w:pPr>
              <w:ind w:left="22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540" w:type="dxa"/>
            <w:vAlign w:val="bottom"/>
            <w:gridSpan w:val="4"/>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00" w:type="dxa"/>
            <w:vAlign w:val="bottom"/>
            <w:tcBorders>
              <w:top w:val="single" w:sz="8" w:color="auto"/>
            </w:tcBorders>
          </w:tcPr>
          <w:p>
            <w:pPr>
              <w:jc w:val="right"/>
              <w:ind w:right="450"/>
              <w:spacing w:after="0" w:line="182" w:lineRule="exact"/>
              <w:rPr>
                <w:sz w:val="20"/>
                <w:szCs w:val="20"/>
                <w:color w:val="auto"/>
              </w:rPr>
            </w:pPr>
            <w:r>
              <w:rPr>
                <w:rFonts w:ascii="Arial" w:cs="Arial" w:eastAsia="Arial" w:hAnsi="Arial"/>
                <w:sz w:val="18"/>
                <w:szCs w:val="18"/>
                <w:color w:val="auto"/>
              </w:rPr>
              <w:t>31.1*</w:t>
            </w:r>
          </w:p>
        </w:tc>
        <w:tc>
          <w:tcPr>
            <w:tcW w:w="1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760" w:type="dxa"/>
            <w:vAlign w:val="bottom"/>
            <w:tcBorders>
              <w:top w:val="single" w:sz="8" w:color="auto"/>
              <w:bottom w:val="single" w:sz="8" w:color="0000FF"/>
            </w:tcBorders>
            <w:gridSpan w:val="3"/>
          </w:tcPr>
          <w:p>
            <w:pPr>
              <w:spacing w:after="0" w:line="182" w:lineRule="exact"/>
              <w:rPr>
                <w:rFonts w:ascii="Arial" w:cs="Arial" w:eastAsia="Arial" w:hAnsi="Arial"/>
                <w:sz w:val="18"/>
                <w:szCs w:val="18"/>
                <w:color w:val="0000FF"/>
                <w:w w:val="90"/>
              </w:rPr>
            </w:pPr>
            <w:hyperlink w:anchor="page66">
              <w:r>
                <w:rPr>
                  <w:rFonts w:ascii="Arial" w:cs="Arial" w:eastAsia="Arial" w:hAnsi="Arial"/>
                  <w:sz w:val="18"/>
                  <w:szCs w:val="18"/>
                  <w:color w:val="0000FF"/>
                  <w:w w:val="90"/>
                </w:rPr>
                <w:t>Certification of CEO pursuant to Rule 13a-14(a) and Rule 15d-14(a) of the Securities Exchange Act of 1934, as amended</w:t>
              </w:r>
            </w:hyperlink>
          </w:p>
        </w:tc>
        <w:tc>
          <w:tcPr>
            <w:tcW w:w="1140" w:type="dxa"/>
            <w:vAlign w:val="bottom"/>
            <w:tcBorders>
              <w:top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120" w:type="dxa"/>
            <w:vAlign w:val="bottom"/>
            <w:gridSpan w:val="2"/>
          </w:tcPr>
          <w:p>
            <w:pPr>
              <w:jc w:val="right"/>
              <w:ind w:right="450"/>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740" w:type="dxa"/>
            <w:vAlign w:val="bottom"/>
            <w:tcBorders>
              <w:bottom w:val="single" w:sz="8" w:color="0000FF"/>
            </w:tcBorders>
            <w:gridSpan w:val="2"/>
          </w:tcPr>
          <w:p>
            <w:pPr>
              <w:spacing w:after="0"/>
              <w:rPr>
                <w:rFonts w:ascii="Arial" w:cs="Arial" w:eastAsia="Arial" w:hAnsi="Arial"/>
                <w:sz w:val="18"/>
                <w:szCs w:val="18"/>
                <w:color w:val="0000FF"/>
                <w:w w:val="90"/>
              </w:rPr>
            </w:pPr>
            <w:hyperlink w:anchor="page67">
              <w:r>
                <w:rPr>
                  <w:rFonts w:ascii="Arial" w:cs="Arial" w:eastAsia="Arial" w:hAnsi="Arial"/>
                  <w:sz w:val="18"/>
                  <w:szCs w:val="18"/>
                  <w:color w:val="0000FF"/>
                  <w:w w:val="90"/>
                </w:rPr>
                <w:t>Certification of CFO pursuant to Rule 13a-14(a) and Rule 15d-14(a) of the Securities Exchange Act of 1934, as amended</w:t>
              </w:r>
            </w:hyperlink>
          </w:p>
        </w:tc>
        <w:tc>
          <w:tcPr>
            <w:tcW w:w="11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20" w:type="dxa"/>
            <w:vAlign w:val="bottom"/>
            <w:gridSpan w:val="2"/>
          </w:tcPr>
          <w:p>
            <w:pPr>
              <w:jc w:val="right"/>
              <w:ind w:right="450"/>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00" w:type="dxa"/>
            <w:vAlign w:val="bottom"/>
            <w:gridSpan w:val="5"/>
          </w:tcPr>
          <w:p>
            <w:pPr>
              <w:spacing w:after="0"/>
              <w:rPr>
                <w:rFonts w:ascii="Arial" w:cs="Arial" w:eastAsia="Arial" w:hAnsi="Arial"/>
                <w:sz w:val="18"/>
                <w:szCs w:val="18"/>
                <w:color w:val="0000FF"/>
                <w:w w:val="93"/>
              </w:rPr>
            </w:pPr>
            <w:hyperlink w:anchor="page68">
              <w:r>
                <w:rPr>
                  <w:rFonts w:ascii="Arial" w:cs="Arial" w:eastAsia="Arial" w:hAnsi="Arial"/>
                  <w:sz w:val="18"/>
                  <w:szCs w:val="18"/>
                  <w:color w:val="0000FF"/>
                  <w:w w:val="93"/>
                </w:rPr>
                <w:t>Certification of CEO and CFO Pursuant to 18 U.S.C. Section 1350, as Adopted Pursuant to Section 906 of the Sarbanes-Oxley Act of</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w:anchor="page68">
              <w:r>
                <w:rPr>
                  <w:rFonts w:ascii="Arial" w:cs="Arial" w:eastAsia="Arial" w:hAnsi="Arial"/>
                  <w:sz w:val="18"/>
                  <w:szCs w:val="18"/>
                  <w:color w:val="0000FF"/>
                  <w:w w:val="84"/>
                </w:rPr>
                <w:t>2002</w:t>
              </w:r>
            </w:hyperlink>
          </w:p>
        </w:tc>
        <w:tc>
          <w:tcPr>
            <w:tcW w:w="83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8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101.INS</w:t>
            </w:r>
          </w:p>
        </w:tc>
        <w:tc>
          <w:tcPr>
            <w:tcW w:w="20" w:type="dxa"/>
            <w:vAlign w:val="bottom"/>
          </w:tcPr>
          <w:p>
            <w:pPr>
              <w:spacing w:after="0"/>
              <w:rPr>
                <w:sz w:val="17"/>
                <w:szCs w:val="17"/>
                <w:color w:val="auto"/>
              </w:rPr>
            </w:pPr>
          </w:p>
        </w:tc>
        <w:tc>
          <w:tcPr>
            <w:tcW w:w="9900" w:type="dxa"/>
            <w:vAlign w:val="bottom"/>
            <w:gridSpan w:val="5"/>
          </w:tcPr>
          <w:p>
            <w:pPr>
              <w:spacing w:after="0" w:line="196" w:lineRule="exact"/>
              <w:rPr>
                <w:sz w:val="20"/>
                <w:szCs w:val="20"/>
                <w:color w:val="auto"/>
              </w:rPr>
            </w:pPr>
            <w:r>
              <w:rPr>
                <w:rFonts w:ascii="Arial" w:cs="Arial" w:eastAsia="Arial" w:hAnsi="Arial"/>
                <w:sz w:val="18"/>
                <w:szCs w:val="18"/>
                <w:color w:val="auto"/>
                <w:w w:val="92"/>
              </w:rPr>
              <w:t>Inline XBRL Instance Document—the instance document does not appear in the Interactive Data File as its XBRL tags are embedded</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00" w:type="dxa"/>
            <w:vAlign w:val="bottom"/>
            <w:gridSpan w:val="5"/>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19"/>
                <w:szCs w:val="19"/>
                <w:color w:val="auto"/>
              </w:rPr>
            </w:pPr>
          </w:p>
        </w:tc>
        <w:tc>
          <w:tcPr>
            <w:tcW w:w="990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19"/>
                <w:szCs w:val="19"/>
                <w:color w:val="auto"/>
              </w:rPr>
            </w:pPr>
          </w:p>
        </w:tc>
        <w:tc>
          <w:tcPr>
            <w:tcW w:w="9900" w:type="dxa"/>
            <w:vAlign w:val="bottom"/>
            <w:gridSpan w:val="5"/>
          </w:tcPr>
          <w:p>
            <w:pPr>
              <w:spacing w:after="0"/>
              <w:rPr>
                <w:sz w:val="20"/>
                <w:szCs w:val="20"/>
                <w:color w:val="auto"/>
              </w:rPr>
            </w:pPr>
            <w:r>
              <w:rPr>
                <w:rFonts w:ascii="Arial" w:cs="Arial" w:eastAsia="Arial" w:hAnsi="Arial"/>
                <w:sz w:val="18"/>
                <w:szCs w:val="18"/>
                <w:color w:val="auto"/>
              </w:rPr>
              <w:t>Inline XBRL Taxonomy Extension Calculation Linkbase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19"/>
                <w:szCs w:val="19"/>
                <w:color w:val="auto"/>
              </w:rPr>
            </w:pPr>
          </w:p>
        </w:tc>
        <w:tc>
          <w:tcPr>
            <w:tcW w:w="9900" w:type="dxa"/>
            <w:vAlign w:val="bottom"/>
            <w:gridSpan w:val="5"/>
          </w:tcPr>
          <w:p>
            <w:pPr>
              <w:spacing w:after="0"/>
              <w:rPr>
                <w:sz w:val="20"/>
                <w:szCs w:val="20"/>
                <w:color w:val="auto"/>
              </w:rPr>
            </w:pPr>
            <w:r>
              <w:rPr>
                <w:rFonts w:ascii="Arial" w:cs="Arial" w:eastAsia="Arial" w:hAnsi="Arial"/>
                <w:sz w:val="18"/>
                <w:szCs w:val="18"/>
                <w:color w:val="auto"/>
              </w:rPr>
              <w:t>Inline XBRL Taxonomy Extension Definition Linkbase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19"/>
                <w:szCs w:val="19"/>
                <w:color w:val="auto"/>
              </w:rPr>
            </w:pPr>
          </w:p>
        </w:tc>
        <w:tc>
          <w:tcPr>
            <w:tcW w:w="9900" w:type="dxa"/>
            <w:vAlign w:val="bottom"/>
            <w:gridSpan w:val="5"/>
          </w:tcPr>
          <w:p>
            <w:pPr>
              <w:spacing w:after="0"/>
              <w:rPr>
                <w:sz w:val="20"/>
                <w:szCs w:val="20"/>
                <w:color w:val="auto"/>
              </w:rPr>
            </w:pPr>
            <w:r>
              <w:rPr>
                <w:rFonts w:ascii="Arial" w:cs="Arial" w:eastAsia="Arial" w:hAnsi="Arial"/>
                <w:sz w:val="18"/>
                <w:szCs w:val="18"/>
                <w:color w:val="auto"/>
              </w:rPr>
              <w:t>Inline XBRL Taxonomy Extension Label Linkbase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0"/>
                <w:szCs w:val="20"/>
                <w:color w:val="auto"/>
              </w:rPr>
            </w:pPr>
          </w:p>
        </w:tc>
        <w:tc>
          <w:tcPr>
            <w:tcW w:w="9900" w:type="dxa"/>
            <w:vAlign w:val="bottom"/>
            <w:gridSpan w:val="5"/>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0" w:type="dxa"/>
            <w:vAlign w:val="bottom"/>
          </w:tcPr>
          <w:p>
            <w:pPr>
              <w:spacing w:after="0"/>
              <w:rPr>
                <w:sz w:val="1"/>
                <w:szCs w:val="1"/>
                <w:color w:val="auto"/>
              </w:rPr>
            </w:pPr>
          </w:p>
        </w:tc>
      </w:tr>
    </w:tbl>
    <w:p>
      <w:pPr>
        <w:ind w:left="1320" w:hanging="1236"/>
        <w:spacing w:after="0"/>
        <w:tabs>
          <w:tab w:leader="none" w:pos="13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Cover page formatted as Inline XBRL and contained in Exhibit 101</w:t>
      </w:r>
    </w:p>
    <w:p>
      <w:pPr>
        <w:spacing w:after="0" w:line="143" w:lineRule="exact"/>
        <w:rPr>
          <w:rFonts w:ascii="Arial" w:cs="Arial" w:eastAsia="Arial" w:hAnsi="Arial"/>
          <w:sz w:val="18"/>
          <w:szCs w:val="18"/>
          <w:color w:val="auto"/>
        </w:rPr>
      </w:pPr>
    </w:p>
    <w:p>
      <w:pPr>
        <w:ind w:left="480" w:hanging="445"/>
        <w:spacing w:after="0" w:line="220" w:lineRule="exact"/>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Filed or furnished herewith. The certification attached as Exhibit 32.1 that accompanies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is not deemed filed with the U.S. Securities and Exchange Commission and is not to be incorporated by reference into any filing of Bentley Systems, Incorporated under the Securities Act of 1933, as amended, or the Securities Exchange Act of 1934, as amended, whether made before or after the date of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4" w:name="page65"/>
    <w:bookmarkEnd w:id="64"/>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840" w:type="dxa"/>
            <w:vAlign w:val="bottom"/>
          </w:tcPr>
          <w:p>
            <w:pPr>
              <w:spacing w:after="0"/>
              <w:rPr>
                <w:sz w:val="20"/>
                <w:szCs w:val="20"/>
                <w:color w:val="auto"/>
              </w:rPr>
            </w:pPr>
          </w:p>
        </w:tc>
        <w:tc>
          <w:tcPr>
            <w:tcW w:w="4100" w:type="dxa"/>
            <w:vAlign w:val="bottom"/>
          </w:tcPr>
          <w:p>
            <w:pPr>
              <w:ind w:left="1400"/>
              <w:spacing w:after="0"/>
              <w:rPr>
                <w:sz w:val="20"/>
                <w:szCs w:val="20"/>
                <w:color w:val="auto"/>
              </w:rPr>
            </w:pPr>
            <w:r>
              <w:rPr>
                <w:rFonts w:ascii="Arial" w:cs="Arial" w:eastAsia="Arial" w:hAnsi="Arial"/>
                <w:sz w:val="18"/>
                <w:szCs w:val="18"/>
                <w:color w:val="auto"/>
              </w:rPr>
              <w:t>Bentley Systems, Incorporated</w:t>
            </w:r>
          </w:p>
        </w:tc>
        <w:tc>
          <w:tcPr>
            <w:tcW w:w="1940" w:type="dxa"/>
            <w:vAlign w:val="bottom"/>
          </w:tcPr>
          <w:p>
            <w:pPr>
              <w:spacing w:after="0"/>
              <w:rPr>
                <w:sz w:val="20"/>
                <w:szCs w:val="20"/>
                <w:color w:val="auto"/>
              </w:rPr>
            </w:pPr>
          </w:p>
        </w:tc>
      </w:tr>
      <w:tr>
        <w:trPr>
          <w:trHeight w:val="405"/>
        </w:trPr>
        <w:tc>
          <w:tcPr>
            <w:tcW w:w="2840" w:type="dxa"/>
            <w:vAlign w:val="bottom"/>
          </w:tcPr>
          <w:p>
            <w:pPr>
              <w:spacing w:after="0"/>
              <w:rPr>
                <w:sz w:val="20"/>
                <w:szCs w:val="20"/>
                <w:color w:val="auto"/>
              </w:rPr>
            </w:pPr>
            <w:r>
              <w:rPr>
                <w:rFonts w:ascii="Arial" w:cs="Arial" w:eastAsia="Arial" w:hAnsi="Arial"/>
                <w:sz w:val="18"/>
                <w:szCs w:val="18"/>
                <w:color w:val="auto"/>
              </w:rPr>
              <w:t>Date: May 10, 2022</w:t>
            </w:r>
          </w:p>
        </w:tc>
        <w:tc>
          <w:tcPr>
            <w:tcW w:w="4100" w:type="dxa"/>
            <w:vAlign w:val="bottom"/>
          </w:tcPr>
          <w:p>
            <w:pPr>
              <w:ind w:left="1400"/>
              <w:spacing w:after="0"/>
              <w:rPr>
                <w:sz w:val="20"/>
                <w:szCs w:val="20"/>
                <w:color w:val="auto"/>
              </w:rPr>
            </w:pPr>
            <w:r>
              <w:rPr>
                <w:rFonts w:ascii="Arial" w:cs="Arial" w:eastAsia="Arial" w:hAnsi="Arial"/>
                <w:sz w:val="18"/>
                <w:szCs w:val="18"/>
                <w:color w:val="auto"/>
              </w:rPr>
              <w:t>By:</w:t>
            </w:r>
          </w:p>
        </w:tc>
        <w:tc>
          <w:tcPr>
            <w:tcW w:w="1940" w:type="dxa"/>
            <w:vAlign w:val="bottom"/>
          </w:tcPr>
          <w:p>
            <w:pPr>
              <w:ind w:left="520"/>
              <w:spacing w:after="0"/>
              <w:rPr>
                <w:sz w:val="20"/>
                <w:szCs w:val="20"/>
                <w:color w:val="auto"/>
              </w:rPr>
            </w:pPr>
            <w:r>
              <w:rPr>
                <w:rFonts w:ascii="Arial" w:cs="Arial" w:eastAsia="Arial" w:hAnsi="Arial"/>
                <w:sz w:val="18"/>
                <w:szCs w:val="18"/>
                <w:color w:val="auto"/>
                <w:w w:val="95"/>
              </w:rPr>
              <w:t>/s/ W</w:t>
            </w:r>
            <w:r>
              <w:rPr>
                <w:rFonts w:ascii="Arial" w:cs="Arial" w:eastAsia="Arial" w:hAnsi="Arial"/>
                <w:sz w:val="14"/>
                <w:szCs w:val="14"/>
                <w:color w:val="auto"/>
                <w:w w:val="95"/>
              </w:rPr>
              <w:t>ERNER</w:t>
            </w:r>
            <w:r>
              <w:rPr>
                <w:rFonts w:ascii="Arial" w:cs="Arial" w:eastAsia="Arial" w:hAnsi="Arial"/>
                <w:sz w:val="18"/>
                <w:szCs w:val="18"/>
                <w:color w:val="auto"/>
                <w:w w:val="95"/>
              </w:rPr>
              <w:t xml:space="preserve"> A</w:t>
            </w:r>
            <w:r>
              <w:rPr>
                <w:rFonts w:ascii="Arial" w:cs="Arial" w:eastAsia="Arial" w:hAnsi="Arial"/>
                <w:sz w:val="14"/>
                <w:szCs w:val="14"/>
                <w:color w:val="auto"/>
                <w:w w:val="95"/>
              </w:rPr>
              <w:t>NDRE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0</wp:posOffset>
            </wp:positionV>
            <wp:extent cx="38830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883025" cy="8255"/>
                    </a:xfrm>
                    <a:prstGeom prst="rect">
                      <a:avLst/>
                    </a:prstGeom>
                    <a:noFill/>
                  </pic:spPr>
                </pic:pic>
              </a:graphicData>
            </a:graphic>
          </wp:anchor>
        </w:drawing>
      </w:r>
    </w:p>
    <w:p>
      <w:pPr>
        <w:jc w:val="center"/>
        <w:ind w:left="5120"/>
        <w:spacing w:after="0"/>
        <w:rPr>
          <w:sz w:val="20"/>
          <w:szCs w:val="20"/>
          <w:color w:val="auto"/>
        </w:rPr>
      </w:pPr>
      <w:r>
        <w:rPr>
          <w:rFonts w:ascii="Arial" w:cs="Arial" w:eastAsia="Arial" w:hAnsi="Arial"/>
          <w:sz w:val="18"/>
          <w:szCs w:val="18"/>
          <w:color w:val="auto"/>
        </w:rPr>
        <w:t>Werner Andre</w:t>
      </w:r>
    </w:p>
    <w:p>
      <w:pPr>
        <w:spacing w:after="0" w:line="23" w:lineRule="exact"/>
        <w:rPr>
          <w:sz w:val="20"/>
          <w:szCs w:val="20"/>
          <w:color w:val="auto"/>
        </w:rPr>
      </w:pPr>
    </w:p>
    <w:p>
      <w:pPr>
        <w:jc w:val="center"/>
        <w:ind w:left="5120"/>
        <w:spacing w:after="0"/>
        <w:rPr>
          <w:sz w:val="20"/>
          <w:szCs w:val="20"/>
          <w:color w:val="auto"/>
        </w:rPr>
      </w:pPr>
      <w:r>
        <w:rPr>
          <w:rFonts w:ascii="Arial" w:cs="Arial" w:eastAsia="Arial" w:hAnsi="Arial"/>
          <w:sz w:val="18"/>
          <w:szCs w:val="18"/>
          <w:color w:val="auto"/>
        </w:rPr>
        <w:t>Chief Financial Officer and Chief Accounting Officer</w:t>
      </w:r>
    </w:p>
    <w:p>
      <w:pPr>
        <w:spacing w:after="0" w:line="23" w:lineRule="exact"/>
        <w:rPr>
          <w:sz w:val="20"/>
          <w:szCs w:val="20"/>
          <w:color w:val="auto"/>
        </w:rPr>
      </w:pPr>
    </w:p>
    <w:p>
      <w:pPr>
        <w:jc w:val="center"/>
        <w:ind w:left="512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440"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Gregory S. Bentley, certify that:</w:t>
      </w:r>
    </w:p>
    <w:p>
      <w:pPr>
        <w:spacing w:after="0" w:line="198" w:lineRule="exact"/>
        <w:rPr>
          <w:sz w:val="20"/>
          <w:szCs w:val="20"/>
          <w:color w:val="auto"/>
        </w:rPr>
      </w:pPr>
    </w:p>
    <w:p>
      <w:pPr>
        <w:ind w:left="340" w:hanging="332"/>
        <w:spacing w:after="0" w:line="207" w:lineRule="exact"/>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Bentley Systems, Incorporated (the “registrant”);</w:t>
      </w:r>
    </w:p>
    <w:p>
      <w:pPr>
        <w:spacing w:after="0" w:line="184"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jc w:val="both"/>
        <w:ind w:left="660" w:hanging="328"/>
        <w:spacing w:after="0" w:line="263" w:lineRule="auto"/>
        <w:tabs>
          <w:tab w:leader="none" w:pos="651"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660" w:hanging="328"/>
        <w:spacing w:after="0" w:line="263" w:lineRule="auto"/>
        <w:tabs>
          <w:tab w:leader="none" w:pos="648"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8"/>
          <w:szCs w:val="18"/>
          <w:color w:val="auto"/>
        </w:rPr>
      </w:pPr>
    </w:p>
    <w:p>
      <w:pPr>
        <w:ind w:left="660" w:hanging="328"/>
        <w:spacing w:after="0" w:line="308" w:lineRule="auto"/>
        <w:tabs>
          <w:tab w:leader="none" w:pos="651" w:val="left"/>
        </w:tabs>
        <w:numPr>
          <w:ilvl w:val="1"/>
          <w:numId w:val="2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5" w:lineRule="exact"/>
        <w:rPr>
          <w:rFonts w:ascii="Arial" w:cs="Arial" w:eastAsia="Arial" w:hAnsi="Arial"/>
          <w:sz w:val="17"/>
          <w:szCs w:val="17"/>
          <w:color w:val="auto"/>
        </w:rPr>
      </w:pPr>
    </w:p>
    <w:p>
      <w:pPr>
        <w:jc w:val="both"/>
        <w:ind w:left="660" w:hanging="328"/>
        <w:spacing w:after="0" w:line="263" w:lineRule="auto"/>
        <w:tabs>
          <w:tab w:leader="none" w:pos="648"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660" w:hanging="328"/>
        <w:spacing w:after="0" w:line="277" w:lineRule="auto"/>
        <w:tabs>
          <w:tab w:leader="none" w:pos="651"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660" w:hanging="328"/>
        <w:spacing w:after="0" w:line="277" w:lineRule="auto"/>
        <w:tabs>
          <w:tab w:leader="none" w:pos="648"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May 10, 2022</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REGORY</w:t>
      </w:r>
      <w:r>
        <w:rPr>
          <w:rFonts w:ascii="Arial" w:cs="Arial" w:eastAsia="Arial" w:hAnsi="Arial"/>
          <w:sz w:val="18"/>
          <w:szCs w:val="18"/>
          <w:color w:val="auto"/>
        </w:rPr>
        <w:t xml:space="preserve"> S. B</w:t>
      </w:r>
      <w:r>
        <w:rPr>
          <w:rFonts w:ascii="Arial" w:cs="Arial" w:eastAsia="Arial" w:hAnsi="Arial"/>
          <w:sz w:val="14"/>
          <w:szCs w:val="14"/>
          <w:color w:val="auto"/>
        </w:rPr>
        <w:t>ENTLEY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746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Gregory S. Bentley</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093"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Werner Andre, certify that:</w:t>
      </w:r>
    </w:p>
    <w:p>
      <w:pPr>
        <w:spacing w:after="0" w:line="198" w:lineRule="exact"/>
        <w:rPr>
          <w:sz w:val="20"/>
          <w:szCs w:val="20"/>
          <w:color w:val="auto"/>
        </w:rPr>
      </w:pPr>
    </w:p>
    <w:p>
      <w:pPr>
        <w:ind w:left="340" w:hanging="332"/>
        <w:spacing w:after="0" w:line="207" w:lineRule="exact"/>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Bentley Systems, Incorporated (the “registrant”);</w:t>
      </w:r>
    </w:p>
    <w:p>
      <w:pPr>
        <w:spacing w:after="0" w:line="184"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jc w:val="both"/>
        <w:ind w:left="660" w:hanging="328"/>
        <w:spacing w:after="0" w:line="263" w:lineRule="auto"/>
        <w:tabs>
          <w:tab w:leader="none" w:pos="651"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660" w:hanging="328"/>
        <w:spacing w:after="0" w:line="263" w:lineRule="auto"/>
        <w:tabs>
          <w:tab w:leader="none" w:pos="64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8"/>
          <w:szCs w:val="18"/>
          <w:color w:val="auto"/>
        </w:rPr>
      </w:pPr>
    </w:p>
    <w:p>
      <w:pPr>
        <w:ind w:left="660" w:hanging="328"/>
        <w:spacing w:after="0" w:line="308" w:lineRule="auto"/>
        <w:tabs>
          <w:tab w:leader="none" w:pos="651" w:val="left"/>
        </w:tabs>
        <w:numPr>
          <w:ilvl w:val="1"/>
          <w:numId w:val="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5" w:lineRule="exact"/>
        <w:rPr>
          <w:rFonts w:ascii="Arial" w:cs="Arial" w:eastAsia="Arial" w:hAnsi="Arial"/>
          <w:sz w:val="17"/>
          <w:szCs w:val="17"/>
          <w:color w:val="auto"/>
        </w:rPr>
      </w:pPr>
    </w:p>
    <w:p>
      <w:pPr>
        <w:jc w:val="both"/>
        <w:ind w:left="660" w:hanging="328"/>
        <w:spacing w:after="0" w:line="263" w:lineRule="auto"/>
        <w:tabs>
          <w:tab w:leader="none" w:pos="64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660" w:hanging="328"/>
        <w:spacing w:after="0" w:line="277" w:lineRule="auto"/>
        <w:tabs>
          <w:tab w:leader="none" w:pos="651"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660" w:hanging="328"/>
        <w:spacing w:after="0" w:line="277" w:lineRule="auto"/>
        <w:tabs>
          <w:tab w:leader="none" w:pos="648"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May 10, 2022</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w:t>
      </w:r>
      <w:r>
        <w:rPr>
          <w:rFonts w:ascii="Arial" w:cs="Arial" w:eastAsia="Arial" w:hAnsi="Arial"/>
          <w:sz w:val="14"/>
          <w:szCs w:val="14"/>
          <w:color w:val="auto"/>
        </w:rPr>
        <w:t>ERNER</w:t>
      </w:r>
      <w:r>
        <w:rPr>
          <w:rFonts w:ascii="Arial" w:cs="Arial" w:eastAsia="Arial" w:hAnsi="Arial"/>
          <w:sz w:val="18"/>
          <w:szCs w:val="18"/>
          <w:color w:val="auto"/>
        </w:rPr>
        <w:t xml:space="preserve"> A</w:t>
      </w:r>
      <w:r>
        <w:rPr>
          <w:rFonts w:ascii="Arial" w:cs="Arial" w:eastAsia="Arial" w:hAnsi="Arial"/>
          <w:sz w:val="14"/>
          <w:szCs w:val="14"/>
          <w:color w:val="auto"/>
        </w:rPr>
        <w:t>NDRE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6867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8675"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Werner Andre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 and Chief Accounting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093"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jc w:val="both"/>
        <w:spacing w:after="0" w:line="221" w:lineRule="exact"/>
        <w:rPr>
          <w:sz w:val="20"/>
          <w:szCs w:val="20"/>
          <w:color w:val="auto"/>
        </w:rPr>
      </w:pPr>
      <w:r>
        <w:rPr>
          <w:rFonts w:ascii="Arial" w:cs="Arial" w:eastAsia="Arial" w:hAnsi="Arial"/>
          <w:sz w:val="17"/>
          <w:szCs w:val="17"/>
          <w:color w:val="auto"/>
        </w:rPr>
        <w:t>In connection with the Quarterly Report of Bentley Systems, Incorporated (the “Company”) on Form 10</w:t>
      </w:r>
      <w:r>
        <w:rPr>
          <w:rFonts w:ascii="MS PGothic" w:cs="MS PGothic" w:eastAsia="MS PGothic" w:hAnsi="MS PGothic"/>
          <w:sz w:val="17"/>
          <w:szCs w:val="17"/>
          <w:color w:val="auto"/>
        </w:rPr>
        <w:t>‑</w:t>
      </w:r>
      <w:r>
        <w:rPr>
          <w:rFonts w:ascii="Arial" w:cs="Arial" w:eastAsia="Arial" w:hAnsi="Arial"/>
          <w:sz w:val="17"/>
          <w:szCs w:val="17"/>
          <w:color w:val="auto"/>
        </w:rPr>
        <w:t>Q for the period ended March 31, 2022, as filed with the Securities and Exchange Commission on the date hereof (the “Report”), each of the undersigned officers of the Company certifies, pursuant to 18 U.S.C. Section 1350, as adopted pursuant to Section 906 of the Sarbanes-Oxley Act of 2002, that, to his knowledge:</w:t>
      </w:r>
    </w:p>
    <w:p>
      <w:pPr>
        <w:spacing w:after="0" w:line="175" w:lineRule="exact"/>
        <w:rPr>
          <w:sz w:val="20"/>
          <w:szCs w:val="20"/>
          <w:color w:val="auto"/>
        </w:rPr>
      </w:pPr>
    </w:p>
    <w:p>
      <w:pPr>
        <w:ind w:left="640" w:hanging="308"/>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84" w:lineRule="exact"/>
        <w:rPr>
          <w:rFonts w:ascii="Arial" w:cs="Arial" w:eastAsia="Arial" w:hAnsi="Arial"/>
          <w:sz w:val="18"/>
          <w:szCs w:val="18"/>
          <w:color w:val="auto"/>
        </w:rPr>
      </w:pPr>
    </w:p>
    <w:p>
      <w:pPr>
        <w:ind w:right="140" w:firstLine="332"/>
        <w:spacing w:after="0" w:line="481" w:lineRule="auto"/>
        <w:tabs>
          <w:tab w:leader="none" w:pos="642"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10, 2022</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REGORY</w:t>
      </w:r>
      <w:r>
        <w:rPr>
          <w:rFonts w:ascii="Arial" w:cs="Arial" w:eastAsia="Arial" w:hAnsi="Arial"/>
          <w:sz w:val="18"/>
          <w:szCs w:val="18"/>
          <w:color w:val="auto"/>
        </w:rPr>
        <w:t xml:space="preserve"> S. B</w:t>
      </w:r>
      <w:r>
        <w:rPr>
          <w:rFonts w:ascii="Arial" w:cs="Arial" w:eastAsia="Arial" w:hAnsi="Arial"/>
          <w:sz w:val="14"/>
          <w:szCs w:val="14"/>
          <w:color w:val="auto"/>
        </w:rPr>
        <w:t>ENTLEY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6867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Gregory S. Bentley</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36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w:t>
      </w:r>
      <w:r>
        <w:rPr>
          <w:rFonts w:ascii="Arial" w:cs="Arial" w:eastAsia="Arial" w:hAnsi="Arial"/>
          <w:sz w:val="14"/>
          <w:szCs w:val="14"/>
          <w:color w:val="auto"/>
        </w:rPr>
        <w:t>ERNER</w:t>
      </w:r>
      <w:r>
        <w:rPr>
          <w:rFonts w:ascii="Arial" w:cs="Arial" w:eastAsia="Arial" w:hAnsi="Arial"/>
          <w:sz w:val="18"/>
          <w:szCs w:val="18"/>
          <w:color w:val="auto"/>
        </w:rPr>
        <w:t xml:space="preserve"> A</w:t>
      </w:r>
      <w:r>
        <w:rPr>
          <w:rFonts w:ascii="Arial" w:cs="Arial" w:eastAsia="Arial" w:hAnsi="Arial"/>
          <w:sz w:val="14"/>
          <w:szCs w:val="14"/>
          <w:color w:val="auto"/>
        </w:rPr>
        <w:t>NDRE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6867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Werner Andre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 and Chief Accounting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10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3"/>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decimal"/>
      <w:start w:val="1"/>
    </w:lvl>
  </w:abstractNum>
  <w:abstractNum w:abstractNumId="25">
    <w:nsid w:val="71F32454"/>
    <w:multiLevelType w:val="hybridMultilevel"/>
    <w:lvl w:ilvl="0">
      <w:lvlJc w:val="left"/>
      <w:lvlText w:val="*"/>
      <w:numFmt w:val="bullet"/>
      <w:start w:val="1"/>
    </w:lvl>
    <w:lvl w:ilvl="1">
      <w:lvlJc w:val="left"/>
      <w:lvlText w:val="%2"/>
      <w:numFmt w:val="decimal"/>
      <w:start w:val="104"/>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2022-05-10T16:04:46Z</dcterms:created>
  <dcterms:modified xsi:type="dcterms:W3CDTF">2022-05-10T16:04:46Z</dcterms:modified>
</cp:coreProperties>
</file>