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22, 2020.</w:t>
      </w: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333-248246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30480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73660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8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93345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AMENDMENT NO. 4 TO</w:t>
      </w:r>
    </w:p>
    <w:p>
      <w:pPr>
        <w:jc w:val="center"/>
        <w:ind w:right="-459"/>
        <w:spacing w:after="0" w:line="226" w:lineRule="auto"/>
        <w:rPr>
          <w:sz w:val="20"/>
          <w:szCs w:val="20"/>
          <w:color w:val="auto"/>
        </w:rPr>
      </w:pPr>
      <w:r>
        <w:rPr>
          <w:rFonts w:ascii="Times New Roman" w:cs="Times New Roman" w:eastAsia="Times New Roman" w:hAnsi="Times New Roman"/>
          <w:sz w:val="25"/>
          <w:szCs w:val="25"/>
          <w:b w:val="1"/>
          <w:bCs w:val="1"/>
          <w:color w:val="auto"/>
        </w:rPr>
        <w:t>FORM S-1</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41275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BENTLEY SYSTEMS, INCORPORATED</w:t>
      </w:r>
    </w:p>
    <w:p>
      <w:pPr>
        <w:ind w:left="40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62230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6"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4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8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7372</w:t>
            </w:r>
          </w:p>
        </w:tc>
        <w:tc>
          <w:tcPr>
            <w:tcW w:w="21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95-3936623</w:t>
            </w:r>
          </w:p>
        </w:tc>
      </w:tr>
      <w:tr>
        <w:trPr>
          <w:trHeight w:val="121"/>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380" w:type="dxa"/>
            <w:vAlign w:val="bottom"/>
          </w:tcPr>
          <w:p>
            <w:pPr>
              <w:ind w:left="860"/>
              <w:spacing w:after="0" w:line="122" w:lineRule="exact"/>
              <w:rPr>
                <w:sz w:val="20"/>
                <w:szCs w:val="20"/>
                <w:color w:val="auto"/>
              </w:rPr>
            </w:pPr>
            <w:r>
              <w:rPr>
                <w:rFonts w:ascii="Times New Roman" w:cs="Times New Roman" w:eastAsia="Times New Roman" w:hAnsi="Times New Roman"/>
                <w:sz w:val="13"/>
                <w:szCs w:val="13"/>
                <w:color w:val="auto"/>
              </w:rPr>
              <w:t>(Primary Standard Industrial</w:t>
            </w:r>
          </w:p>
        </w:tc>
        <w:tc>
          <w:tcPr>
            <w:tcW w:w="2180" w:type="dxa"/>
            <w:vAlign w:val="bottom"/>
          </w:tcPr>
          <w:p>
            <w:pPr>
              <w:jc w:val="center"/>
              <w:ind w:left="854"/>
              <w:spacing w:after="0" w:line="122" w:lineRule="exact"/>
              <w:rPr>
                <w:sz w:val="20"/>
                <w:szCs w:val="20"/>
                <w:color w:val="auto"/>
              </w:rPr>
            </w:pPr>
            <w:r>
              <w:rPr>
                <w:rFonts w:ascii="Times New Roman" w:cs="Times New Roman" w:eastAsia="Times New Roman" w:hAnsi="Times New Roman"/>
                <w:sz w:val="13"/>
                <w:szCs w:val="13"/>
                <w:color w:val="auto"/>
              </w:rPr>
              <w:t>(I.R.S. Employer</w:t>
            </w:r>
          </w:p>
        </w:tc>
      </w:tr>
      <w:tr>
        <w:trPr>
          <w:trHeight w:val="173"/>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3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Classification Code Number)</w:t>
            </w:r>
          </w:p>
        </w:tc>
        <w:tc>
          <w:tcPr>
            <w:tcW w:w="2180" w:type="dxa"/>
            <w:vAlign w:val="bottom"/>
          </w:tcPr>
          <w:p>
            <w:pPr>
              <w:jc w:val="center"/>
              <w:ind w:left="894"/>
              <w:spacing w:after="0"/>
              <w:rPr>
                <w:sz w:val="20"/>
                <w:szCs w:val="20"/>
                <w:color w:val="auto"/>
              </w:rPr>
            </w:pPr>
            <w:r>
              <w:rPr>
                <w:rFonts w:ascii="Times New Roman" w:cs="Times New Roman" w:eastAsia="Times New Roman" w:hAnsi="Times New Roman"/>
                <w:sz w:val="13"/>
                <w:szCs w:val="13"/>
                <w:color w:val="auto"/>
              </w:rPr>
              <w:t>Identification Number)</w:t>
            </w:r>
          </w:p>
        </w:tc>
      </w:tr>
    </w:tbl>
    <w:p>
      <w:pPr>
        <w:spacing w:after="0" w:line="5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685 Stockton Drive</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Exton, PA 19341</w:t>
      </w:r>
    </w:p>
    <w:p>
      <w:pPr>
        <w:jc w:val="center"/>
        <w:ind w:right="-459"/>
        <w:spacing w:after="0" w:line="225" w:lineRule="auto"/>
        <w:rPr>
          <w:sz w:val="20"/>
          <w:szCs w:val="20"/>
          <w:color w:val="auto"/>
        </w:rPr>
      </w:pPr>
      <w:r>
        <w:rPr>
          <w:rFonts w:ascii="Times New Roman" w:cs="Times New Roman" w:eastAsia="Times New Roman" w:hAnsi="Times New Roman"/>
          <w:sz w:val="14"/>
          <w:szCs w:val="14"/>
          <w:b w:val="1"/>
          <w:bCs w:val="1"/>
          <w:color w:val="auto"/>
        </w:rPr>
        <w:t>(610) 458-5000</w:t>
      </w:r>
    </w:p>
    <w:p>
      <w:pPr>
        <w:jc w:val="center"/>
        <w:ind w:right="-47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36195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8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David R. Shaman</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Chief Legal Officer and Corporate Secretary</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Bentley Systems, Incorporated</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685 Stockton Drive</w:t>
      </w:r>
    </w:p>
    <w:p>
      <w:pPr>
        <w:jc w:val="center"/>
        <w:ind w:right="-459"/>
        <w:spacing w:after="0" w:line="202" w:lineRule="auto"/>
        <w:rPr>
          <w:sz w:val="20"/>
          <w:szCs w:val="20"/>
          <w:color w:val="auto"/>
        </w:rPr>
      </w:pPr>
      <w:r>
        <w:rPr>
          <w:rFonts w:ascii="Times New Roman" w:cs="Times New Roman" w:eastAsia="Times New Roman" w:hAnsi="Times New Roman"/>
          <w:sz w:val="14"/>
          <w:szCs w:val="14"/>
          <w:b w:val="1"/>
          <w:bCs w:val="1"/>
          <w:color w:val="auto"/>
        </w:rPr>
        <w:t>Exton, PA 19341</w:t>
      </w:r>
    </w:p>
    <w:p>
      <w:pPr>
        <w:jc w:val="center"/>
        <w:ind w:right="-459"/>
        <w:spacing w:after="0" w:line="225" w:lineRule="auto"/>
        <w:rPr>
          <w:sz w:val="20"/>
          <w:szCs w:val="20"/>
          <w:color w:val="auto"/>
        </w:rPr>
      </w:pPr>
      <w:r>
        <w:rPr>
          <w:rFonts w:ascii="Times New Roman" w:cs="Times New Roman" w:eastAsia="Times New Roman" w:hAnsi="Times New Roman"/>
          <w:sz w:val="14"/>
          <w:szCs w:val="14"/>
          <w:b w:val="1"/>
          <w:bCs w:val="1"/>
          <w:color w:val="auto"/>
        </w:rPr>
        <w:t>(610) 458-5000</w:t>
      </w:r>
    </w:p>
    <w:p>
      <w:pPr>
        <w:ind w:left="272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36195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3"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0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Copies to:</w:t>
            </w:r>
          </w:p>
        </w:tc>
        <w:tc>
          <w:tcPr>
            <w:tcW w:w="1700" w:type="dxa"/>
            <w:vAlign w:val="bottom"/>
          </w:tcPr>
          <w:p>
            <w:pPr>
              <w:spacing w:after="0"/>
              <w:rPr>
                <w:sz w:val="16"/>
                <w:szCs w:val="16"/>
                <w:color w:val="auto"/>
              </w:rPr>
            </w:pPr>
          </w:p>
        </w:tc>
      </w:tr>
      <w:tr>
        <w:trPr>
          <w:trHeight w:val="188"/>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Richard A. Fenyes</w:t>
            </w:r>
          </w:p>
        </w:tc>
        <w:tc>
          <w:tcPr>
            <w:tcW w:w="1260" w:type="dxa"/>
            <w:vAlign w:val="bottom"/>
          </w:tcPr>
          <w:p>
            <w:pPr>
              <w:spacing w:after="0"/>
              <w:rPr>
                <w:sz w:val="16"/>
                <w:szCs w:val="16"/>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Gregory S. Bentley</w:t>
            </w:r>
          </w:p>
        </w:tc>
        <w:tc>
          <w:tcPr>
            <w:tcW w:w="17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Richard A. Kline</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Jonathan R. Ozner</w:t>
            </w:r>
          </w:p>
        </w:tc>
        <w:tc>
          <w:tcPr>
            <w:tcW w:w="1260" w:type="dxa"/>
            <w:vAlign w:val="bottom"/>
          </w:tcPr>
          <w:p>
            <w:pPr>
              <w:spacing w:after="0"/>
              <w:rPr>
                <w:sz w:val="14"/>
                <w:szCs w:val="14"/>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David J. Hollister</w:t>
            </w:r>
          </w:p>
        </w:tc>
        <w:tc>
          <w:tcPr>
            <w:tcW w:w="17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Sarah B. Axtell</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Simpson Thacher &amp; Bartlett LLP</w:t>
            </w:r>
          </w:p>
        </w:tc>
        <w:tc>
          <w:tcPr>
            <w:tcW w:w="1260" w:type="dxa"/>
            <w:vAlign w:val="bottom"/>
          </w:tcPr>
          <w:p>
            <w:pPr>
              <w:spacing w:after="0"/>
              <w:rPr>
                <w:sz w:val="14"/>
                <w:szCs w:val="14"/>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7"/>
              </w:rPr>
              <w:t>685 Stockton Drive</w:t>
            </w: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Goodwin Procter LLP</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425 Lexington Avenue</w:t>
            </w:r>
          </w:p>
        </w:tc>
        <w:tc>
          <w:tcPr>
            <w:tcW w:w="1260" w:type="dxa"/>
            <w:vAlign w:val="bottom"/>
          </w:tcPr>
          <w:p>
            <w:pPr>
              <w:spacing w:after="0"/>
              <w:rPr>
                <w:sz w:val="14"/>
                <w:szCs w:val="14"/>
                <w:color w:val="auto"/>
              </w:rPr>
            </w:pPr>
          </w:p>
        </w:tc>
        <w:tc>
          <w:tcPr>
            <w:tcW w:w="33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Exton, PA 19341</w:t>
            </w: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601 Marshall Street</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New York, NY 10017</w:t>
            </w:r>
          </w:p>
        </w:tc>
        <w:tc>
          <w:tcPr>
            <w:tcW w:w="3200" w:type="dxa"/>
            <w:vAlign w:val="bottom"/>
            <w:gridSpan w:val="2"/>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w w:val="98"/>
              </w:rPr>
              <w:t>(610) 458-5000</w:t>
            </w:r>
          </w:p>
        </w:tc>
        <w:tc>
          <w:tcPr>
            <w:tcW w:w="1360" w:type="dxa"/>
            <w:vAlign w:val="bottom"/>
          </w:tcPr>
          <w:p>
            <w:pPr>
              <w:spacing w:after="0"/>
              <w:rPr>
                <w:sz w:val="14"/>
                <w:szCs w:val="14"/>
                <w:color w:val="auto"/>
              </w:rPr>
            </w:pP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Redwood City, CA 94063</w:t>
            </w:r>
          </w:p>
        </w:tc>
      </w:tr>
      <w:tr>
        <w:trPr>
          <w:trHeight w:val="190"/>
        </w:trPr>
        <w:tc>
          <w:tcPr>
            <w:tcW w:w="2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(212) 455-2000</w:t>
            </w:r>
          </w:p>
        </w:tc>
        <w:tc>
          <w:tcPr>
            <w:tcW w:w="1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8"/>
              </w:rPr>
              <w:t>(650) 752-3100</w:t>
            </w:r>
          </w:p>
        </w:tc>
      </w:tr>
      <w:tr>
        <w:trPr>
          <w:trHeight w:val="118"/>
        </w:trPr>
        <w:tc>
          <w:tcPr>
            <w:tcW w:w="2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83"/>
        </w:trPr>
        <w:tc>
          <w:tcPr>
            <w:tcW w:w="2100" w:type="dxa"/>
            <w:vAlign w:val="bottom"/>
          </w:tcPr>
          <w:p>
            <w:pPr>
              <w:spacing w:after="0"/>
              <w:rPr>
                <w:sz w:val="15"/>
                <w:szCs w:val="15"/>
                <w:color w:val="auto"/>
              </w:rPr>
            </w:pPr>
          </w:p>
        </w:tc>
        <w:tc>
          <w:tcPr>
            <w:tcW w:w="4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Approximate date of commencement of proposed sale to the public:</w:t>
            </w:r>
          </w:p>
        </w:tc>
        <w:tc>
          <w:tcPr>
            <w:tcW w:w="1700" w:type="dxa"/>
            <w:vAlign w:val="bottom"/>
          </w:tcPr>
          <w:p>
            <w:pPr>
              <w:spacing w:after="0"/>
              <w:rPr>
                <w:sz w:val="15"/>
                <w:szCs w:val="15"/>
                <w:color w:val="auto"/>
              </w:rPr>
            </w:pPr>
          </w:p>
        </w:tc>
      </w:tr>
      <w:tr>
        <w:trPr>
          <w:trHeight w:val="190"/>
        </w:trPr>
        <w:tc>
          <w:tcPr>
            <w:tcW w:w="2100" w:type="dxa"/>
            <w:vAlign w:val="bottom"/>
          </w:tcPr>
          <w:p>
            <w:pPr>
              <w:spacing w:after="0"/>
              <w:rPr>
                <w:sz w:val="16"/>
                <w:szCs w:val="16"/>
                <w:color w:val="auto"/>
              </w:rPr>
            </w:pPr>
          </w:p>
        </w:tc>
        <w:tc>
          <w:tcPr>
            <w:tcW w:w="4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soon as practicable after this registration statement becomes effective.</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1" w:lineRule="exact"/>
        <w:rPr>
          <w:sz w:val="24"/>
          <w:szCs w:val="24"/>
          <w:color w:val="auto"/>
        </w:rPr>
      </w:pPr>
    </w:p>
    <w:p>
      <w:pPr>
        <w:ind w:left="500" w:right="220" w:firstLine="360"/>
        <w:spacing w:after="0" w:line="16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500" w:right="18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2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ectPr>
          <w:pgSz w:w="11900" w:h="16838" w:orient="portrait"/>
          <w:cols w:equalWidth="0" w:num="1">
            <w:col w:w="10240"/>
          </w:cols>
          <w:pgMar w:left="320" w:top="221" w:right="1339" w:bottom="1440" w:gutter="0" w:footer="0" w:header="0"/>
        </w:sect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right="40" w:hanging="43"/>
        <w:spacing w:after="0" w:line="170"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4">
            <w:col w:w="2260" w:space="720"/>
            <w:col w:w="1760" w:space="720"/>
            <w:col w:w="2220" w:space="720"/>
            <w:col w:w="1840"/>
          </w:cols>
          <w:pgMar w:left="320" w:top="221" w:right="1339" w:bottom="1440" w:gutter="0" w:footer="0" w:header="0"/>
          <w:type w:val="continuous"/>
        </w:sectPr>
      </w:pPr>
    </w:p>
    <w:p>
      <w:pPr>
        <w:ind w:left="500" w:right="100" w:firstLine="360"/>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23495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100"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180" w:type="dxa"/>
            <w:vAlign w:val="bottom"/>
            <w:tcBorders>
              <w:top w:val="single" w:sz="8" w:color="auto"/>
              <w:bottom w:val="single" w:sz="8" w:color="auto"/>
              <w:right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c>
          <w:tcPr>
            <w:tcW w:w="110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18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44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4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Proposed Maximum</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8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Amount to be Registered</w:t>
            </w:r>
            <w:r>
              <w:rPr>
                <w:rFonts w:ascii="Times New Roman" w:cs="Times New Roman" w:eastAsia="Times New Roman" w:hAnsi="Times New Roman"/>
                <w:sz w:val="21"/>
                <w:szCs w:val="21"/>
                <w:b w:val="1"/>
                <w:bCs w:val="1"/>
                <w:color w:val="auto"/>
                <w:w w:val="95"/>
                <w:vertAlign w:val="superscript"/>
              </w:rPr>
              <w:t>(1)</w:t>
            </w:r>
          </w:p>
        </w:tc>
        <w:tc>
          <w:tcPr>
            <w:tcW w:w="11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440" w:type="dxa"/>
            <w:vAlign w:val="bottom"/>
            <w:tcBorders>
              <w:right w:val="single" w:sz="8" w:color="auto"/>
            </w:tcBorders>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200" w:type="dxa"/>
            <w:vAlign w:val="bottom"/>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Securities to be Registered</w:t>
            </w:r>
          </w:p>
        </w:tc>
        <w:tc>
          <w:tcPr>
            <w:tcW w:w="1800" w:type="dxa"/>
            <w:vAlign w:val="bottom"/>
            <w:tcBorders>
              <w:bottom w:val="single" w:sz="8" w:color="auto"/>
              <w:right w:val="single" w:sz="8" w:color="auto"/>
            </w:tcBorders>
            <w:vMerge w:val="continue"/>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per Share</w:t>
            </w:r>
            <w:r>
              <w:rPr>
                <w:rFonts w:ascii="Times New Roman" w:cs="Times New Roman" w:eastAsia="Times New Roman" w:hAnsi="Times New Roman"/>
                <w:sz w:val="21"/>
                <w:szCs w:val="21"/>
                <w:b w:val="1"/>
                <w:bCs w:val="1"/>
                <w:color w:val="auto"/>
                <w:w w:val="93"/>
                <w:vertAlign w:val="superscript"/>
              </w:rPr>
              <w:t>(2)</w:t>
            </w:r>
          </w:p>
        </w:tc>
        <w:tc>
          <w:tcPr>
            <w:tcW w:w="144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Offering Price</w:t>
            </w:r>
            <w:r>
              <w:rPr>
                <w:rFonts w:ascii="Times New Roman" w:cs="Times New Roman" w:eastAsia="Times New Roman" w:hAnsi="Times New Roman"/>
                <w:sz w:val="21"/>
                <w:szCs w:val="21"/>
                <w:b w:val="1"/>
                <w:bCs w:val="1"/>
                <w:color w:val="auto"/>
                <w:w w:val="93"/>
                <w:vertAlign w:val="superscript"/>
              </w:rPr>
              <w:t>(2)</w:t>
            </w:r>
          </w:p>
        </w:tc>
        <w:tc>
          <w:tcPr>
            <w:tcW w:w="1200" w:type="dxa"/>
            <w:vAlign w:val="bottom"/>
            <w:tcBorders>
              <w:bottom w:val="single" w:sz="8" w:color="auto"/>
            </w:tcBorders>
          </w:tcPr>
          <w:p>
            <w:pPr>
              <w:ind w:left="100"/>
              <w:spacing w:after="0" w:line="230" w:lineRule="exact"/>
              <w:rPr>
                <w:sz w:val="20"/>
                <w:szCs w:val="20"/>
                <w:color w:val="auto"/>
              </w:rPr>
            </w:pPr>
            <w:r>
              <w:rPr>
                <w:rFonts w:ascii="Times New Roman" w:cs="Times New Roman" w:eastAsia="Times New Roman" w:hAnsi="Times New Roman"/>
                <w:sz w:val="14"/>
                <w:szCs w:val="14"/>
                <w:b w:val="1"/>
                <w:bCs w:val="1"/>
                <w:color w:val="auto"/>
                <w:w w:val="94"/>
              </w:rPr>
              <w:t>Registration Fee</w:t>
            </w:r>
            <w:r>
              <w:rPr>
                <w:rFonts w:ascii="Times New Roman" w:cs="Times New Roman" w:eastAsia="Times New Roman" w:hAnsi="Times New Roman"/>
                <w:sz w:val="21"/>
                <w:szCs w:val="21"/>
                <w:b w:val="1"/>
                <w:bCs w:val="1"/>
                <w:color w:val="auto"/>
                <w:w w:val="94"/>
                <w:vertAlign w:val="superscript"/>
              </w:rPr>
              <w:t>(3)</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 par value $0.01 per share</w:t>
            </w:r>
          </w:p>
        </w:tc>
        <w:tc>
          <w:tcPr>
            <w:tcW w:w="1800" w:type="dxa"/>
            <w:vAlign w:val="bottom"/>
            <w:tcBorders>
              <w:bottom w:val="single" w:sz="8" w:color="CCEEFF"/>
              <w:right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12,360,991</w:t>
            </w:r>
          </w:p>
        </w:tc>
        <w:tc>
          <w:tcPr>
            <w:tcW w:w="1100" w:type="dxa"/>
            <w:vAlign w:val="bottom"/>
            <w:tcBorders>
              <w:bottom w:val="single" w:sz="8" w:color="CCEEFF"/>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$21.00</w:t>
            </w:r>
          </w:p>
        </w:tc>
        <w:tc>
          <w:tcPr>
            <w:tcW w:w="1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$259,580,811</w:t>
            </w:r>
          </w:p>
        </w:tc>
        <w:tc>
          <w:tcPr>
            <w:tcW w:w="1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$33,693.59</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4"/>
          <w:szCs w:val="2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1,610,991 shares of our Class B common stock that the underwriters have an option to purchase.</w:t>
      </w:r>
    </w:p>
    <w:p>
      <w:pPr>
        <w:spacing w:after="0" w:line="28" w:lineRule="exact"/>
        <w:rPr>
          <w:rFonts w:ascii="Times New Roman" w:cs="Times New Roman" w:eastAsia="Times New Roman" w:hAnsi="Times New Roman"/>
          <w:sz w:val="14"/>
          <w:szCs w:val="1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purposes of calculating the registration fee in accordance with Rule 457(a) under the Securities Act of 1933, as amended.</w:t>
      </w:r>
    </w:p>
    <w:p>
      <w:pPr>
        <w:spacing w:after="0" w:line="41" w:lineRule="exact"/>
        <w:rPr>
          <w:rFonts w:ascii="Times New Roman" w:cs="Times New Roman" w:eastAsia="Times New Roman" w:hAnsi="Times New Roman"/>
          <w:sz w:val="14"/>
          <w:szCs w:val="1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$30,484.68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109220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 w:right="180" w:firstLine="360"/>
        <w:spacing w:after="0" w:line="22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33020</wp:posOffset>
            </wp:positionV>
            <wp:extent cx="6189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58420</wp:posOffset>
            </wp:positionV>
            <wp:extent cx="618934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332740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21" w:right="13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14" w:right="135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where the offer or</w:t>
            </w:r>
          </w:p>
        </w:tc>
      </w:tr>
      <w:tr>
        <w:trPr>
          <w:trHeight w:val="22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 with</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buy these securities in any state</w:t>
            </w:r>
          </w:p>
        </w:tc>
      </w:tr>
      <w:tr>
        <w:trPr>
          <w:trHeight w:val="392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 securities may not be sold until the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to sell these securities and we are not soliciting offers to</w:t>
            </w:r>
          </w:p>
        </w:tc>
      </w:tr>
      <w:tr>
        <w:trPr>
          <w:trHeight w:val="9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is not an offer</w:t>
            </w:r>
          </w:p>
        </w:tc>
      </w:tr>
      <w:tr>
        <w:trPr>
          <w:trHeight w:val="363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5"/>
              </w:rPr>
              <w:t>Commission is effective. This preliminary prospectuspermitted.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22, 2020</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10,750,000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77470</wp:posOffset>
            </wp:positionV>
            <wp:extent cx="211772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77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69215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This is an initial public offering of shares of Class B common stock of Bentley Systems, Incorporated.</w:t>
      </w:r>
    </w:p>
    <w:p>
      <w:pPr>
        <w:spacing w:after="0" w:line="34" w:lineRule="exact"/>
        <w:rPr>
          <w:sz w:val="20"/>
          <w:szCs w:val="20"/>
          <w:color w:val="auto"/>
        </w:rPr>
      </w:pPr>
    </w:p>
    <w:p>
      <w:pPr>
        <w:ind w:right="20" w:firstLine="360"/>
        <w:spacing w:after="0" w:line="234" w:lineRule="auto"/>
        <w:rPr>
          <w:sz w:val="20"/>
          <w:szCs w:val="20"/>
          <w:color w:val="auto"/>
        </w:rPr>
      </w:pPr>
      <w:r>
        <w:rPr>
          <w:rFonts w:ascii="Times New Roman" w:cs="Times New Roman" w:eastAsia="Times New Roman" w:hAnsi="Times New Roman"/>
          <w:sz w:val="17"/>
          <w:szCs w:val="17"/>
          <w:color w:val="auto"/>
        </w:rPr>
        <w:t>The selling stockholders identified in this prospectus are selling 10,750,000 Class B shares in this offering. We will not be selling any shares in this offering and will not receive any of the proceeds from the sale of the Class B shares being sold by the selling stockholders.</w:t>
      </w:r>
    </w:p>
    <w:p>
      <w:pPr>
        <w:spacing w:after="0" w:line="9"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7"/>
          <w:szCs w:val="17"/>
          <w:color w:val="auto"/>
        </w:rPr>
        <w:t>We will have two classes of authorized common stock: Class A common stock and Class B common stock. Upon completion of this offering, the rights of the holders of our Class A common stock and our Class B common stock will be identical, except with respect to voting and conversion rights. Each share of our Class B common stock will be entitled to one vote per share. Each share of our Class A common stock will be entitled to 29 votes per share and is convertible at any time into one share of our Class B common stock. Our Class A common stock will automatically convert into our Class B common stock upon certain transfers. The beneficial owners of our Class A common stock consist primarily of the Bentleys (as defined herein). After giving effect to the Charter Amendments (as defined herein) and following the completion of this offering, the holders of our Class A common stock will hold approximately 57.4% of the voting power of our outstanding capital stock and the Bentley Control Group (as defined herein) will hold or have the ability to control approximately 67.4% of the voting power of our outstanding capital stock. As a result, we will be a “controlled company” within the meaning of the Nasdaq Listing Rules and Nasdaq corporate governance standards. This ownership means that, for the foreseeable future, holders of our Class B common stock will not have a meaningful voice in our corporate affairs and that the control of our company will be concentrated with the Bentley Control Group. For additional information, see the sections titled “Risk Factors — Risks Related to the Offering “ and “Management —Controlled Company.”</w:t>
      </w:r>
    </w:p>
    <w:p>
      <w:pPr>
        <w:spacing w:after="0" w:line="12" w:lineRule="exact"/>
        <w:rPr>
          <w:sz w:val="20"/>
          <w:szCs w:val="20"/>
          <w:color w:val="auto"/>
        </w:rPr>
      </w:pPr>
    </w:p>
    <w:p>
      <w:pPr>
        <w:ind w:right="180" w:firstLine="360"/>
        <w:spacing w:after="0" w:line="234"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the Class B common stock. It is currently estimated that the initial public offering price per share will be between $ 19.00 and $21.00. We have applied to list our Class B common stock on The Nasdaq Global Select Market under the symbol “BSY.”</w:t>
      </w:r>
    </w:p>
    <w:p>
      <w:pPr>
        <w:spacing w:after="0" w:line="18" w:lineRule="exact"/>
        <w:rPr>
          <w:sz w:val="20"/>
          <w:szCs w:val="20"/>
          <w:color w:val="auto"/>
        </w:rPr>
      </w:pPr>
    </w:p>
    <w:p>
      <w:pPr>
        <w:ind w:right="180" w:firstLine="360"/>
        <w:spacing w:after="0" w:line="26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“Risk Factors” on page </w:t>
      </w:r>
      <w:hyperlink w:anchor="page27">
        <w:r>
          <w:rPr>
            <w:rFonts w:ascii="Times New Roman" w:cs="Times New Roman" w:eastAsia="Times New Roman" w:hAnsi="Times New Roman"/>
            <w:sz w:val="17"/>
            <w:szCs w:val="17"/>
            <w:i w:val="1"/>
            <w:iCs w:val="1"/>
            <w:u w:val="single" w:color="auto"/>
            <w:color w:val="0000EE"/>
          </w:rPr>
          <w:t>23</w:t>
        </w:r>
        <w:r>
          <w:rPr>
            <w:rFonts w:ascii="Times New Roman" w:cs="Times New Roman" w:eastAsia="Times New Roman" w:hAnsi="Times New Roman"/>
            <w:sz w:val="17"/>
            <w:szCs w:val="17"/>
            <w:i w:val="1"/>
            <w:iCs w:val="1"/>
            <w:u w:val="single" w:color="auto"/>
            <w:color w:val="auto"/>
          </w:rPr>
          <w:t xml:space="preserve"> </w:t>
        </w:r>
      </w:hyperlink>
      <w:r>
        <w:rPr>
          <w:rFonts w:ascii="Times New Roman" w:cs="Times New Roman" w:eastAsia="Times New Roman" w:hAnsi="Times New Roman"/>
          <w:sz w:val="17"/>
          <w:szCs w:val="17"/>
          <w:i w:val="1"/>
          <w:iCs w:val="1"/>
          <w:color w:val="auto"/>
        </w:rPr>
        <w:t>to read about factors you should consider before buying shares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3810</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8" w:lineRule="exact"/>
        <w:rPr>
          <w:sz w:val="20"/>
          <w:szCs w:val="20"/>
          <w:color w:val="auto"/>
        </w:rPr>
      </w:pPr>
    </w:p>
    <w:p>
      <w:pPr>
        <w:ind w:right="300" w:firstLine="360"/>
        <w:spacing w:after="0" w:line="284"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5715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3"/>
        </w:trPr>
        <w:tc>
          <w:tcPr>
            <w:tcW w:w="78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Initial public offering price</w:t>
            </w:r>
          </w:p>
        </w:tc>
        <w:tc>
          <w:tcPr>
            <w:tcW w:w="620" w:type="dxa"/>
            <w:vAlign w:val="bottom"/>
            <w:tcBorders>
              <w:top w:val="single" w:sz="8" w:color="auto"/>
            </w:tcBorders>
            <w:shd w:val="clear" w:color="auto" w:fill="CCEEFF"/>
          </w:tcPr>
          <w:p>
            <w:pPr>
              <w:jc w:val="right"/>
              <w:ind w:right="298"/>
              <w:spacing w:after="0" w:line="18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r>
      <w:tr>
        <w:trPr>
          <w:trHeight w:val="203"/>
        </w:trPr>
        <w:tc>
          <w:tcPr>
            <w:tcW w:w="78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(1)</w:t>
            </w:r>
          </w:p>
        </w:tc>
        <w:tc>
          <w:tcPr>
            <w:tcW w:w="62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8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Proceeds to the selling stockholders</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5537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128905</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9" w:lineRule="exact"/>
        <w:rPr>
          <w:sz w:val="20"/>
          <w:szCs w:val="20"/>
          <w:color w:val="auto"/>
        </w:rPr>
      </w:pPr>
    </w:p>
    <w:p>
      <w:pPr>
        <w:ind w:left="360" w:hanging="358"/>
        <w:spacing w:after="0"/>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the section titled “Underwriting” for additional information regarding compensation payable to the underwriters.</w:t>
      </w:r>
    </w:p>
    <w:p>
      <w:pPr>
        <w:spacing w:after="0" w:line="74" w:lineRule="exact"/>
        <w:rPr>
          <w:rFonts w:ascii="Times New Roman" w:cs="Times New Roman" w:eastAsia="Times New Roman" w:hAnsi="Times New Roman"/>
          <w:sz w:val="17"/>
          <w:szCs w:val="17"/>
          <w:color w:val="auto"/>
        </w:rPr>
      </w:pPr>
    </w:p>
    <w:p>
      <w:pPr>
        <w:ind w:left="360" w:right="140" w:hanging="358"/>
        <w:spacing w:after="0" w:line="256" w:lineRule="auto"/>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pay certain expenses in connection with this offering on behalf of the selling stockholders, including underwriting discounts and commissions. See the section titled “Underwriting.”</w:t>
      </w:r>
    </w:p>
    <w:p>
      <w:pPr>
        <w:spacing w:after="0" w:line="1" w:lineRule="exact"/>
        <w:rPr>
          <w:sz w:val="20"/>
          <w:szCs w:val="20"/>
          <w:color w:val="auto"/>
        </w:rPr>
      </w:pPr>
    </w:p>
    <w:p>
      <w:pPr>
        <w:ind w:right="60" w:firstLine="360"/>
        <w:spacing w:after="0" w:line="234" w:lineRule="auto"/>
        <w:rPr>
          <w:sz w:val="20"/>
          <w:szCs w:val="20"/>
          <w:color w:val="auto"/>
        </w:rPr>
      </w:pPr>
      <w:r>
        <w:rPr>
          <w:rFonts w:ascii="Times New Roman" w:cs="Times New Roman" w:eastAsia="Times New Roman" w:hAnsi="Times New Roman"/>
          <w:sz w:val="17"/>
          <w:szCs w:val="17"/>
          <w:color w:val="auto"/>
        </w:rPr>
        <w:t>To the extent that the underwriters sell more than 10,750,000 shares of Class B common stock, the underwriters have the option to purchase up to an additional 1,610,991 shares from the selling stockholders at the initial public offering price less the underwriting discount.</w:t>
      </w:r>
    </w:p>
    <w:p>
      <w:pPr>
        <w:spacing w:after="0" w:line="9" w:lineRule="exact"/>
        <w:rPr>
          <w:sz w:val="20"/>
          <w:szCs w:val="20"/>
          <w:color w:val="auto"/>
        </w:rPr>
      </w:pPr>
    </w:p>
    <w:p>
      <w:pPr>
        <w:ind w:right="120" w:firstLine="360"/>
        <w:spacing w:after="0" w:line="222" w:lineRule="auto"/>
        <w:rPr>
          <w:sz w:val="20"/>
          <w:szCs w:val="20"/>
          <w:color w:val="auto"/>
        </w:rPr>
      </w:pPr>
      <w:r>
        <w:rPr>
          <w:rFonts w:ascii="Times New Roman" w:cs="Times New Roman" w:eastAsia="Times New Roman" w:hAnsi="Times New Roman"/>
          <w:sz w:val="17"/>
          <w:szCs w:val="17"/>
          <w:color w:val="auto"/>
        </w:rPr>
        <w:t>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123825</wp:posOffset>
            </wp:positionV>
            <wp:extent cx="123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The underwriters expect to deliver the shares against payment in New York, New York on</w:t>
            </w: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7"/>
                <w:szCs w:val="17"/>
                <w:color w:val="auto"/>
              </w:rPr>
              <w:t>, 2020.</w:t>
            </w:r>
          </w:p>
        </w:tc>
      </w:tr>
      <w:tr>
        <w:trPr>
          <w:trHeight w:val="383"/>
        </w:trPr>
        <w:tc>
          <w:tcPr>
            <w:tcW w:w="3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w w:val="96"/>
              </w:rPr>
              <w:t>Goldman Sachs &amp; Co. LLC</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BofA Securities</w:t>
            </w:r>
          </w:p>
        </w:tc>
      </w:tr>
      <w:tr>
        <w:trPr>
          <w:trHeight w:val="528"/>
        </w:trPr>
        <w:tc>
          <w:tcPr>
            <w:tcW w:w="3320" w:type="dxa"/>
            <w:vAlign w:val="bottom"/>
          </w:tcPr>
          <w:p>
            <w:pPr>
              <w:spacing w:after="0"/>
              <w:rPr>
                <w:sz w:val="24"/>
                <w:szCs w:val="24"/>
                <w:color w:val="auto"/>
              </w:rPr>
            </w:pPr>
          </w:p>
        </w:tc>
        <w:tc>
          <w:tcPr>
            <w:tcW w:w="3700" w:type="dxa"/>
            <w:vAlign w:val="bottom"/>
            <w:gridSpan w:val="3"/>
          </w:tcPr>
          <w:p>
            <w:pPr>
              <w:jc w:val="right"/>
              <w:ind w:right="1340"/>
              <w:spacing w:after="0"/>
              <w:rPr>
                <w:sz w:val="20"/>
                <w:szCs w:val="20"/>
                <w:color w:val="auto"/>
              </w:rPr>
            </w:pPr>
            <w:r>
              <w:rPr>
                <w:rFonts w:ascii="Times New Roman" w:cs="Times New Roman" w:eastAsia="Times New Roman" w:hAnsi="Times New Roman"/>
                <w:sz w:val="25"/>
                <w:szCs w:val="25"/>
                <w:b w:val="1"/>
                <w:bCs w:val="1"/>
                <w:color w:val="auto"/>
                <w:w w:val="99"/>
              </w:rPr>
              <w:t>RBC Capital Markets</w:t>
            </w:r>
          </w:p>
        </w:tc>
        <w:tc>
          <w:tcPr>
            <w:tcW w:w="2060" w:type="dxa"/>
            <w:vAlign w:val="bottom"/>
          </w:tcPr>
          <w:p>
            <w:pPr>
              <w:spacing w:after="0"/>
              <w:rPr>
                <w:sz w:val="24"/>
                <w:szCs w:val="24"/>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Baird</w:t>
            </w:r>
          </w:p>
        </w:tc>
        <w:tc>
          <w:tcPr>
            <w:tcW w:w="3700" w:type="dxa"/>
            <w:vAlign w:val="bottom"/>
            <w:gridSpan w:val="3"/>
          </w:tcPr>
          <w:p>
            <w:pPr>
              <w:jc w:val="right"/>
              <w:ind w:right="1320"/>
              <w:spacing w:after="0"/>
              <w:rPr>
                <w:sz w:val="20"/>
                <w:szCs w:val="20"/>
                <w:color w:val="auto"/>
              </w:rPr>
            </w:pPr>
            <w:r>
              <w:rPr>
                <w:rFonts w:ascii="Times New Roman" w:cs="Times New Roman" w:eastAsia="Times New Roman" w:hAnsi="Times New Roman"/>
                <w:sz w:val="22"/>
                <w:szCs w:val="22"/>
                <w:b w:val="1"/>
                <w:bCs w:val="1"/>
                <w:color w:val="auto"/>
                <w:w w:val="96"/>
              </w:rPr>
              <w:t>KeyBanc Capital Markets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Mizuho Securities</w:t>
            </w:r>
          </w:p>
        </w:tc>
      </w:tr>
      <w:tr>
        <w:trPr>
          <w:trHeight w:val="69"/>
        </w:trPr>
        <w:tc>
          <w:tcPr>
            <w:tcW w:w="3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2060" w:type="dxa"/>
            <w:vAlign w:val="bottom"/>
          </w:tcPr>
          <w:p>
            <w:pPr>
              <w:spacing w:after="0"/>
              <w:rPr>
                <w:sz w:val="6"/>
                <w:szCs w:val="6"/>
                <w:color w:val="auto"/>
              </w:rPr>
            </w:pPr>
          </w:p>
        </w:tc>
      </w:tr>
    </w:tbl>
    <w:p>
      <w:pPr>
        <w:spacing w:after="0" w:line="136" w:lineRule="exact"/>
        <w:rPr>
          <w:sz w:val="20"/>
          <w:szCs w:val="20"/>
          <w:color w:val="auto"/>
        </w:rPr>
      </w:pPr>
    </w:p>
    <w:p>
      <w:pPr>
        <w:sectPr>
          <w:pgSz w:w="11900" w:h="16838" w:orient="portrait"/>
          <w:cols w:equalWidth="0" w:num="2">
            <w:col w:w="900" w:space="240"/>
            <w:col w:w="9080"/>
          </w:cols>
          <w:pgMar w:left="320" w:top="114" w:right="1359" w:bottom="1440" w:gutter="0" w:footer="0" w:header="0"/>
          <w:type w:val="continuous"/>
        </w:sectPr>
      </w:pPr>
    </w:p>
    <w:p>
      <w:pPr>
        <w:ind w:left="4420"/>
        <w:spacing w:after="0"/>
        <w:tabs>
          <w:tab w:leader="none" w:pos="6860" w:val="left"/>
        </w:tabs>
        <w:rPr>
          <w:sz w:val="20"/>
          <w:szCs w:val="20"/>
          <w:color w:val="auto"/>
        </w:rPr>
      </w:pPr>
      <w:r>
        <w:rPr>
          <w:rFonts w:ascii="Times New Roman" w:cs="Times New Roman" w:eastAsia="Times New Roman" w:hAnsi="Times New Roman"/>
          <w:sz w:val="17"/>
          <w:szCs w:val="17"/>
          <w:b w:val="1"/>
          <w:bCs w:val="1"/>
          <w:color w:val="auto"/>
        </w:rPr>
        <w:t>Prospectus dated</w:t>
      </w:r>
      <w:r>
        <w:rPr>
          <w:sz w:val="20"/>
          <w:szCs w:val="20"/>
          <w:color w:val="auto"/>
        </w:rPr>
        <w:tab/>
      </w:r>
      <w:r>
        <w:rPr>
          <w:rFonts w:ascii="Times New Roman" w:cs="Times New Roman" w:eastAsia="Times New Roman" w:hAnsi="Times New Roman"/>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gridSpan w:val="4"/>
            <w:shd w:val="clear" w:color="auto" w:fill="CCEEFF"/>
          </w:tcPr>
          <w:p>
            <w:pPr>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TRADEMARKS</w:t>
              </w:r>
            </w:hyperlink>
          </w:p>
        </w:tc>
        <w:tc>
          <w:tcPr>
            <w:tcW w:w="780" w:type="dxa"/>
            <w:vAlign w:val="bottom"/>
            <w:shd w:val="clear" w:color="auto" w:fill="CCEEFF"/>
          </w:tcPr>
          <w:p>
            <w:pPr>
              <w:jc w:val="right"/>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iii</w:t>
              </w:r>
            </w:hyperlink>
          </w:p>
        </w:tc>
        <w:tc>
          <w:tcPr>
            <w:tcW w:w="0" w:type="dxa"/>
            <w:vAlign w:val="bottom"/>
          </w:tcPr>
          <w:p>
            <w:pPr>
              <w:spacing w:after="0"/>
              <w:rPr>
                <w:sz w:val="1"/>
                <w:szCs w:val="1"/>
                <w:color w:val="auto"/>
              </w:rPr>
            </w:pPr>
          </w:p>
        </w:tc>
      </w:tr>
      <w:tr>
        <w:trPr>
          <w:trHeight w:val="257"/>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RISK FACTORS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23</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CAUTIONARY NOTE REGARDING FORWARD-LOOKING STATEMENTS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MARKET AND INDUSTRY DATA</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USE OF PROCEEDS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57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DIVIDEND POLICY</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58</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CAPITALIZATION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59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SELECTED CONSOLIDATED FINANCIAL DATA AND OTHER DATA</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61</w:t>
              </w:r>
            </w:hyperlink>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MANAGEMENT’S DISCUSSION AND ANALYSIS OF FINANCIAL CONDITION AND</w:t>
              </w:r>
            </w:hyperlink>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3"/>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RESULTS OF OPERATIONS</w:t>
              </w:r>
            </w:hyperlink>
          </w:p>
        </w:tc>
        <w:tc>
          <w:tcPr>
            <w:tcW w:w="7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72</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FOUNDERS’ LETTER</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114</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131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MANAGEMENT</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164</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EXECUTIVE AND DIRECTOR COMPENSATION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169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CERTAIN RELATIONSHIPS AND RELATED PARTY TRANSACTIONS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183</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PRINCIPAL AND SELLING STOCKHOLDERS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187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DESCRIPTION OF CAPITAL STOCK</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191</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SHARES ELIGIBLE FOR FUTURE SALE</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197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MATERIAL U.S. FEDERAL INCOME TAX CONSEQUENCES TO NON-U.S. HOLDERS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200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UNDERWRITING</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204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LEGAL MATTERS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EXPERTS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WHERE YOU CAN FIND MORE INFORMATION</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INDEX TO CONSOLIDATED FINANCIAL STATEMENTS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209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contained in any free writing prospectus filed with the Securities and Exchange Commission (the “SEC”). Neither we, the selling stockholders nor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This prospectus is an offer to sell only the shares offered hereby, and only under circumstances and in jurisdictions where it is lawful to do so. The information contained in this prospectus is accurate only as of the date of this prospectus, regardless of the time of delivery of this prospectus or of any sale of the Class B common stock. Our business, financial condition, results of operations, and prospects may have changed since such date.</w:t>
      </w:r>
    </w:p>
    <w:p>
      <w:pPr>
        <w:spacing w:after="0" w:line="12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For investors outside of the United States: neither we, the selling stockholders nor the underwriters have done anything that would permit this offering, or the use of or possession or distribution of this prospectus in any jurisdiction where action for that purpose is required, other than in the United States. You are required to inform yourselves about, and to observe any restrictions relating to, the offering of the shares of Class B common stock and the distribution of this prospectus outside of the United States.</w:t>
      </w:r>
    </w:p>
    <w:p>
      <w:pPr>
        <w:spacing w:after="0" w:line="117"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to “Bentley Systems,” the “Company,” “we,” “us,” “our” and similar references refer to Bentley Systems, Incorporated and, where appropriate, its direct and indirect wholly-owned subsidiaries. References to the “Bentleys” refer to Barry J. Bentley, Gregory S. Bentley, Keith A. Bentley, Raymond B. Bentley and Richard P. Bentley, collectively. References to the “Bentley Control Group” refer to the Bentleys and certain of their family members,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trusts or other permitted transferees, as well as all other holders of our Class A common stock in respect of such shares of Class A common stock, who collectively are acting as a group. For a further discussion of the Bentley Control Group, see the section titled “Management — Controlled Company.” References to the “Bentley Family” refer to the Bentleys, certain other family members and trusts and other entities controlled by or primarily for the benefit of the Bentleys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references to our trademarks and service marks and to those belonging to other entities. Solely for convenience, trademarks and trade names referred to in this prospectus may appear without the ® or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any other companies.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contains references to certain data derived from external publications:</w:t>
      </w:r>
    </w:p>
    <w:p>
      <w:pPr>
        <w:spacing w:after="0" w:line="117" w:lineRule="exact"/>
        <w:rPr>
          <w:sz w:val="20"/>
          <w:szCs w:val="20"/>
          <w:color w:val="auto"/>
        </w:rPr>
      </w:pPr>
    </w:p>
    <w:p>
      <w:pPr>
        <w:ind w:left="1800" w:right="759" w:hanging="178"/>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 The report is copyrighted by the Global Infrastructure Hub Ltd (the “GI Hub”), and is licensed from the GI Hub under a Creative Commons Attribution 3.0 Australia License. To the extent permitted by law, the GI Hub disclaims liability to any person or organization in respect of anything done, or omitted to be done, in reliance upon information contained in the publication. See the section titled “Market and Industry Data;”</w:t>
      </w:r>
    </w:p>
    <w:p>
      <w:pPr>
        <w:spacing w:after="0" w:line="75"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prepared by the ARC Advisory Group. All information in the report is proprietary and copyrighted by ARC Advisory Group; and</w:t>
      </w:r>
    </w:p>
    <w:p>
      <w:pPr>
        <w:spacing w:after="0" w:line="53"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research report commissioned by us entitled “Infrastructure Engineering Software: Potential World-Wide Market Size” prepared by Cambashi Limited (“Cambashi”).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73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75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and does not contain all of the information that you should consider in making your investment decision. This summary does not contain all of the information you should consider before investing in our Class B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the section titled “Cautionary Note Regarding Forward-Looking Statements.”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62"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 — sustaining both the global economy and environment, for improved quality of life.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48" w:lineRule="exact"/>
        <w:rPr>
          <w:sz w:val="20"/>
          <w:szCs w:val="20"/>
          <w:color w:val="auto"/>
        </w:rPr>
      </w:pPr>
    </w:p>
    <w:p>
      <w:pPr>
        <w:ind w:left="1280" w:right="65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294" w:lineRule="exact"/>
        <w:rPr>
          <w:sz w:val="20"/>
          <w:szCs w:val="20"/>
          <w:color w:val="auto"/>
        </w:rPr>
      </w:pPr>
    </w:p>
    <w:p>
      <w:pPr>
        <w:ind w:left="1820" w:right="779" w:hanging="180"/>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5" w:lineRule="exact"/>
        <w:rPr>
          <w:rFonts w:ascii="Times New Roman" w:cs="Times New Roman" w:eastAsia="Times New Roman" w:hAnsi="Times New Roman"/>
          <w:sz w:val="18"/>
          <w:szCs w:val="18"/>
          <w:color w:val="auto"/>
        </w:rPr>
      </w:pPr>
    </w:p>
    <w:p>
      <w:pPr>
        <w:ind w:left="1820" w:right="1039" w:hanging="180"/>
        <w:spacing w:after="0" w:line="267"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w:t>
      </w:r>
      <w:r>
        <w:rPr>
          <w:rFonts w:ascii="Times New Roman" w:cs="Times New Roman" w:eastAsia="Times New Roman" w:hAnsi="Times New Roman"/>
          <w:sz w:val="18"/>
          <w:szCs w:val="18"/>
          <w:i w:val="1"/>
          <w:iCs w:val="1"/>
          <w:color w:val="auto"/>
        </w:rPr>
        <w:t>/ 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jc w:val="both"/>
        <w:ind w:left="1820" w:right="1019" w:hanging="180"/>
        <w:spacing w:after="0" w:line="284"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93" w:lineRule="exact"/>
        <w:rPr>
          <w:sz w:val="20"/>
          <w:szCs w:val="20"/>
          <w:color w:val="auto"/>
        </w:rPr>
      </w:pPr>
    </w:p>
    <w:p>
      <w:pPr>
        <w:ind w:left="1280" w:right="879" w:firstLine="360"/>
        <w:spacing w:after="0" w:line="258"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116"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111" w:lineRule="exact"/>
        <w:rPr>
          <w:sz w:val="20"/>
          <w:szCs w:val="20"/>
          <w:color w:val="auto"/>
        </w:rPr>
      </w:pPr>
    </w:p>
    <w:p>
      <w:pPr>
        <w:ind w:left="1280" w:right="979" w:firstLine="360"/>
        <w:spacing w:after="0" w:line="275"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839"/>
        <w:spacing w:after="0" w:line="261" w:lineRule="auto"/>
        <w:rPr>
          <w:sz w:val="20"/>
          <w:szCs w:val="20"/>
          <w:color w:val="auto"/>
        </w:rPr>
      </w:pPr>
      <w:r>
        <w:rPr>
          <w:rFonts w:ascii="Times New Roman" w:cs="Times New Roman" w:eastAsia="Times New Roman" w:hAnsi="Times New Roman"/>
          <w:sz w:val="18"/>
          <w:szCs w:val="18"/>
          <w:color w:val="auto"/>
        </w:rPr>
        <w:t>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pacing w:after="0" w:line="99" w:lineRule="exact"/>
        <w:rPr>
          <w:sz w:val="20"/>
          <w:szCs w:val="20"/>
          <w:color w:val="auto"/>
        </w:rPr>
      </w:pPr>
    </w:p>
    <w:p>
      <w:pPr>
        <w:ind w:left="1280" w:right="679" w:firstLine="360"/>
        <w:spacing w:after="0" w:line="256" w:lineRule="auto"/>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336"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 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120"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 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108" w:lineRule="exact"/>
        <w:rPr>
          <w:sz w:val="20"/>
          <w:szCs w:val="20"/>
          <w:color w:val="auto"/>
        </w:rPr>
      </w:pPr>
    </w:p>
    <w:p>
      <w:pPr>
        <w:ind w:left="1280" w:right="6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the only infrastructure engineering software vendor to lead in market share in categories related to both the project and the asset lifecycle phases in the most recent rankings by The ARC Advisory Group (“ARC”). In 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w:t>
      </w:r>
    </w:p>
    <w:p>
      <w:pPr>
        <w:spacing w:after="0" w:line="5" w:lineRule="exact"/>
        <w:rPr>
          <w:sz w:val="20"/>
          <w:szCs w:val="20"/>
          <w:color w:val="auto"/>
        </w:rPr>
      </w:pPr>
    </w:p>
    <w:p>
      <w:pPr>
        <w:ind w:left="1280" w:right="959"/>
        <w:spacing w:after="0" w:line="260" w:lineRule="auto"/>
        <w:tabs>
          <w:tab w:leader="none" w:pos="1472"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ARC ranked us #1 overall for software, as well as #1 in each of Transportation,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Electric Power Transmission and Distribution.</w:t>
      </w:r>
    </w:p>
    <w:p>
      <w:pPr>
        <w:spacing w:after="0" w:line="114"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120"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and 64% of the 2019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is authored by Engineering News-Record (“ENR”) and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is authored by us. These rankings consist of substantially distinct account lists (with the 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 with 80% of our 2018 and 2019 total revenues coming from accounts of more than ten years’ standing, and 87% of our 2018 and 2019 total revenues coming from accounts of more than five years’ standing.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40" w:right="1139" w:hanging="360"/>
        <w:spacing w:after="0" w:line="282"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94" w:lineRule="exact"/>
        <w:rPr>
          <w:sz w:val="20"/>
          <w:szCs w:val="20"/>
          <w:color w:val="auto"/>
        </w:rPr>
      </w:pPr>
    </w:p>
    <w:p>
      <w:pPr>
        <w:ind w:left="1280" w:right="699" w:firstLine="360"/>
        <w:spacing w:after="0" w:line="238"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105" w:lineRule="exact"/>
        <w:rPr>
          <w:sz w:val="20"/>
          <w:szCs w:val="20"/>
          <w:color w:val="auto"/>
        </w:rPr>
      </w:pPr>
    </w:p>
    <w:p>
      <w:pPr>
        <w:ind w:left="1280" w:right="779" w:firstLine="360"/>
        <w:spacing w:after="0"/>
        <w:rPr>
          <w:sz w:val="20"/>
          <w:szCs w:val="20"/>
          <w:color w:val="auto"/>
        </w:rPr>
      </w:pPr>
      <w:r>
        <w:rPr>
          <w:rFonts w:ascii="Times New Roman" w:cs="Times New Roman" w:eastAsia="Times New Roman" w:hAnsi="Times New Roman"/>
          <w:sz w:val="18"/>
          <w:szCs w:val="18"/>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117" w:lineRule="exact"/>
        <w:rPr>
          <w:sz w:val="20"/>
          <w:szCs w:val="20"/>
          <w:color w:val="auto"/>
        </w:rPr>
      </w:pPr>
    </w:p>
    <w:p>
      <w:pPr>
        <w:ind w:left="1280" w:right="659" w:firstLine="360"/>
        <w:spacing w:after="0" w:line="242"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w:t>
      </w:r>
    </w:p>
    <w:p>
      <w:pPr>
        <w:spacing w:after="0" w:line="1" w:lineRule="exact"/>
        <w:rPr>
          <w:sz w:val="20"/>
          <w:szCs w:val="20"/>
          <w:color w:val="auto"/>
        </w:rPr>
      </w:pPr>
    </w:p>
    <w:p>
      <w:pPr>
        <w:ind w:left="1280" w:right="719"/>
        <w:spacing w:after="0" w:line="238" w:lineRule="auto"/>
        <w:rPr>
          <w:sz w:val="20"/>
          <w:szCs w:val="20"/>
          <w:color w:val="auto"/>
        </w:rPr>
      </w:pPr>
      <w:r>
        <w:rPr>
          <w:rFonts w:ascii="Times New Roman" w:cs="Times New Roman" w:eastAsia="Times New Roman" w:hAnsi="Times New Roman"/>
          <w:sz w:val="18"/>
          <w:szCs w:val="18"/>
          <w:color w:val="auto"/>
        </w:rPr>
        <w:t>$69 million and Adjusted EBITDA of $116 million. Our business is cash-efficient, with approximately 70% of our revenues billed in advance, and a global tax rate of under 20%. For additional information on our financial results, key metrics, and non-GAAP financial metrics, see the section titled “Management’s Discussion and Analysis of Financial Condition and Results of Operations — Key Business Metrics.”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62" w:lineRule="exact"/>
        <w:rPr>
          <w:sz w:val="20"/>
          <w:szCs w:val="20"/>
          <w:color w:val="auto"/>
        </w:rPr>
      </w:pPr>
    </w:p>
    <w:p>
      <w:pPr>
        <w:ind w:left="1280" w:right="859" w:firstLine="360"/>
        <w:spacing w:after="0" w:line="242"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8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199"/>
        <w:spacing w:after="0" w:line="282" w:lineRule="auto"/>
        <w:rPr>
          <w:sz w:val="20"/>
          <w:szCs w:val="20"/>
          <w:color w:val="auto"/>
        </w:rPr>
      </w:pPr>
      <w:r>
        <w:rPr>
          <w:rFonts w:ascii="Times New Roman" w:cs="Times New Roman" w:eastAsia="Times New Roman" w:hAnsi="Times New Roman"/>
          <w:sz w:val="18"/>
          <w:szCs w:val="18"/>
          <w:color w:val="auto"/>
        </w:rPr>
        <w:t>professional practitioners and workgroups. Our cloud-native Digital Twins solutions introduce digital workflows, which can span our Project Lifecycle and Asset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80" w:right="8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simulation, and construction, as well as the collaboration software services required to coordinate and share the work of interdisciplinary and/or distributed project teams.</w:t>
      </w:r>
    </w:p>
    <w:p>
      <w:pPr>
        <w:spacing w:after="0" w:line="92" w:lineRule="exact"/>
        <w:rPr>
          <w:sz w:val="20"/>
          <w:szCs w:val="20"/>
          <w:color w:val="auto"/>
        </w:rPr>
      </w:pPr>
    </w:p>
    <w:p>
      <w:pPr>
        <w:ind w:left="128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modeling applications are domain-specific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3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820" w:right="659" w:hanging="180"/>
        <w:spacing w:after="0" w:line="25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w:t>
      </w:r>
    </w:p>
    <w:p>
      <w:pPr>
        <w:spacing w:after="0" w:line="75" w:lineRule="exact"/>
        <w:rPr>
          <w:rFonts w:ascii="Times New Roman" w:cs="Times New Roman" w:eastAsia="Times New Roman" w:hAnsi="Times New Roman"/>
          <w:sz w:val="18"/>
          <w:szCs w:val="18"/>
          <w:color w:val="auto"/>
        </w:rPr>
      </w:pPr>
    </w:p>
    <w:p>
      <w:pPr>
        <w:ind w:left="1820" w:right="739" w:hanging="180"/>
        <w:spacing w:after="0" w:line="284"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50" w:lineRule="exact"/>
        <w:rPr>
          <w:rFonts w:ascii="Times New Roman" w:cs="Times New Roman" w:eastAsia="Times New Roman" w:hAnsi="Times New Roman"/>
          <w:sz w:val="18"/>
          <w:szCs w:val="18"/>
          <w:color w:val="auto"/>
        </w:rPr>
      </w:pPr>
    </w:p>
    <w:p>
      <w:pPr>
        <w:ind w:left="1820" w:right="1019" w:hanging="180"/>
        <w:spacing w:after="0" w:line="267"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projects to enrich information sharing (and to minimize problematic translations) across project delivery processes.</w:t>
      </w:r>
    </w:p>
    <w:p>
      <w:pPr>
        <w:spacing w:after="0" w:line="106" w:lineRule="exact"/>
        <w:rPr>
          <w:sz w:val="20"/>
          <w:szCs w:val="20"/>
          <w:color w:val="auto"/>
        </w:rPr>
      </w:pPr>
    </w:p>
    <w:p>
      <w:pPr>
        <w:ind w:left="1280" w:right="8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 Delivery. </w:t>
      </w:r>
      <w:r>
        <w:rPr>
          <w:rFonts w:ascii="Times New Roman" w:cs="Times New Roman" w:eastAsia="Times New Roman" w:hAnsi="Times New Roman"/>
          <w:sz w:val="18"/>
          <w:szCs w:val="18"/>
          <w:color w:val="auto"/>
        </w:rPr>
        <w:t>Our Project Delivery solutions support information and document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engineering-specific collaboration and work-sharing for distributed project teams and enterprises, and construction planning, modeling and execution. The scope of these solutions is not limited to users of only our own design applications.</w:t>
      </w:r>
    </w:p>
    <w:p>
      <w:pPr>
        <w:spacing w:after="0" w:line="114" w:lineRule="exact"/>
        <w:rPr>
          <w:sz w:val="20"/>
          <w:szCs w:val="20"/>
          <w:color w:val="auto"/>
        </w:rPr>
      </w:pPr>
    </w:p>
    <w:p>
      <w:pPr>
        <w:ind w:left="1280" w:right="799" w:firstLine="360"/>
        <w:spacing w:after="0" w:line="257"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39"/>
        <w:spacing w:after="0" w:line="282" w:lineRule="auto"/>
        <w:rPr>
          <w:sz w:val="20"/>
          <w:szCs w:val="20"/>
          <w:color w:val="auto"/>
        </w:rPr>
      </w:pPr>
      <w:r>
        <w:rPr>
          <w:rFonts w:ascii="Times New Roman" w:cs="Times New Roman" w:eastAsia="Times New Roman" w:hAnsi="Times New Roman"/>
          <w:sz w:val="18"/>
          <w:szCs w:val="18"/>
          <w:color w:val="auto"/>
        </w:rPr>
        <w:t>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29" w:lineRule="exact"/>
        <w:rPr>
          <w:sz w:val="20"/>
          <w:szCs w:val="20"/>
          <w:color w:val="auto"/>
        </w:rPr>
      </w:pPr>
    </w:p>
    <w:p>
      <w:pPr>
        <w:ind w:left="1820" w:right="759" w:hanging="180"/>
        <w:spacing w:after="0" w:line="267"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Distributed work-sharing</w:t>
      </w:r>
      <w:r>
        <w:rPr>
          <w:rFonts w:ascii="Times New Roman" w:cs="Times New Roman" w:eastAsia="Times New Roman" w:hAnsi="Times New Roman"/>
          <w:sz w:val="18"/>
          <w:szCs w:val="18"/>
          <w:color w:val="auto"/>
        </w:rPr>
        <w:t>: 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78" w:lineRule="exact"/>
        <w:rPr>
          <w:rFonts w:ascii="Times New Roman" w:cs="Times New Roman" w:eastAsia="Times New Roman" w:hAnsi="Times New Roman"/>
          <w:sz w:val="18"/>
          <w:szCs w:val="18"/>
          <w:color w:val="auto"/>
        </w:rPr>
      </w:pPr>
    </w:p>
    <w:p>
      <w:pPr>
        <w:ind w:left="1820" w:right="719" w:hanging="180"/>
        <w:spacing w:after="0" w:line="26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collaboration</w:t>
      </w:r>
      <w:r>
        <w:rPr>
          <w:rFonts w:ascii="Times New Roman" w:cs="Times New Roman" w:eastAsia="Times New Roman" w:hAnsi="Times New Roman"/>
          <w:sz w:val="18"/>
          <w:szCs w:val="18"/>
          <w:color w:val="auto"/>
        </w:rPr>
        <w:t>: Our software leverages cloud and hybrid environments to streamline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aggregation, distribution, and interaction for project deliverables, ensuring that the right project participants have the right information in the right format at the right time, including at the project site and on every device; and</w:t>
      </w:r>
    </w:p>
    <w:p>
      <w:pPr>
        <w:spacing w:after="0" w:line="85" w:lineRule="exact"/>
        <w:rPr>
          <w:rFonts w:ascii="Times New Roman" w:cs="Times New Roman" w:eastAsia="Times New Roman" w:hAnsi="Times New Roman"/>
          <w:sz w:val="18"/>
          <w:szCs w:val="18"/>
          <w:color w:val="auto"/>
        </w:rPr>
      </w:pPr>
    </w:p>
    <w:p>
      <w:pPr>
        <w:ind w:left="1820" w:right="839" w:hanging="180"/>
        <w:spacing w:after="0" w:line="267"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 visibility</w:t>
      </w:r>
      <w:r>
        <w:rPr>
          <w:rFonts w:ascii="Times New Roman" w:cs="Times New Roman" w:eastAsia="Times New Roman" w:hAnsi="Times New Roman"/>
          <w:sz w:val="18"/>
          <w:szCs w:val="18"/>
          <w:color w:val="auto"/>
        </w:rPr>
        <w:t>: 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90" w:lineRule="exact"/>
        <w:rPr>
          <w:sz w:val="20"/>
          <w:szCs w:val="20"/>
          <w:color w:val="auto"/>
        </w:rPr>
      </w:pPr>
    </w:p>
    <w:p>
      <w:pPr>
        <w:ind w:left="128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assets, capturing and managing changes to engineering models and enterprise information for compliance and safety, and to model performance and reliability to support operating and maintenance decisions.</w:t>
      </w:r>
    </w:p>
    <w:p>
      <w:pPr>
        <w:spacing w:after="0" w:line="111" w:lineRule="exact"/>
        <w:rPr>
          <w:sz w:val="20"/>
          <w:szCs w:val="20"/>
          <w:color w:val="auto"/>
        </w:rPr>
      </w:pPr>
    </w:p>
    <w:p>
      <w:pPr>
        <w:ind w:left="128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820" w:right="859" w:hanging="180"/>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compliance and assurance</w:t>
      </w:r>
      <w:r>
        <w:rPr>
          <w:rFonts w:ascii="Times New Roman" w:cs="Times New Roman" w:eastAsia="Times New Roman" w:hAnsi="Times New Roman"/>
          <w:sz w:val="18"/>
          <w:szCs w:val="18"/>
          <w:color w:val="auto"/>
        </w:rPr>
        <w:t>: Our systems intrinsically enforce the rigor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infrastructure assets in order to provide dependable visibility into the impact of changes;</w:t>
      </w:r>
    </w:p>
    <w:p>
      <w:pPr>
        <w:spacing w:after="0" w:line="63" w:lineRule="exact"/>
        <w:rPr>
          <w:rFonts w:ascii="Times New Roman" w:cs="Times New Roman" w:eastAsia="Times New Roman" w:hAnsi="Times New Roman"/>
          <w:sz w:val="18"/>
          <w:szCs w:val="18"/>
          <w:color w:val="auto"/>
        </w:rPr>
      </w:pPr>
    </w:p>
    <w:p>
      <w:pPr>
        <w:ind w:left="1820" w:right="1179" w:hanging="180"/>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asset performance</w:t>
      </w:r>
      <w:r>
        <w:rPr>
          <w:rFonts w:ascii="Times New Roman" w:cs="Times New Roman" w:eastAsia="Times New Roman" w:hAnsi="Times New Roman"/>
          <w:sz w:val="18"/>
          <w:szCs w:val="18"/>
          <w:color w:val="auto"/>
        </w:rPr>
        <w:t>: Our solutions include operational dashboards that provide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insights to maintain and improve throughput and reliability; and</w:t>
      </w:r>
    </w:p>
    <w:p>
      <w:pPr>
        <w:spacing w:after="0" w:line="63" w:lineRule="exact"/>
        <w:rPr>
          <w:rFonts w:ascii="Times New Roman" w:cs="Times New Roman" w:eastAsia="Times New Roman" w:hAnsi="Times New Roman"/>
          <w:sz w:val="18"/>
          <w:szCs w:val="18"/>
          <w:color w:val="auto"/>
        </w:rPr>
      </w:pPr>
    </w:p>
    <w:p>
      <w:pPr>
        <w:jc w:val="both"/>
        <w:ind w:left="1820" w:right="739" w:hanging="180"/>
        <w:spacing w:after="0" w:line="267"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risk management</w:t>
      </w:r>
      <w:r>
        <w:rPr>
          <w:rFonts w:ascii="Times New Roman" w:cs="Times New Roman" w:eastAsia="Times New Roman" w:hAnsi="Times New Roman"/>
          <w:sz w:val="18"/>
          <w:szCs w:val="18"/>
          <w:color w:val="auto"/>
        </w:rPr>
        <w:t>: Our solutions include predictive analytics that identify potential problems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they occur, and ensure the accessibility of best-available engineering information and models for mitigation and resilience.</w:t>
      </w:r>
    </w:p>
    <w:p>
      <w:pPr>
        <w:spacing w:after="0" w:line="92" w:lineRule="exact"/>
        <w:rPr>
          <w:sz w:val="20"/>
          <w:szCs w:val="20"/>
          <w:color w:val="auto"/>
        </w:rPr>
      </w:pPr>
    </w:p>
    <w:p>
      <w:pPr>
        <w:ind w:left="1280" w:right="8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mapping “survey”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29" w:lineRule="exact"/>
        <w:rPr>
          <w:sz w:val="20"/>
          <w:szCs w:val="20"/>
          <w:color w:val="auto"/>
        </w:rPr>
      </w:pPr>
    </w:p>
    <w:p>
      <w:pPr>
        <w:ind w:left="1820" w:right="719" w:hanging="180"/>
        <w:spacing w:after="0" w:line="267"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Evergreen 3D city models</w:t>
      </w:r>
      <w:r>
        <w:rPr>
          <w:rFonts w:ascii="Times New Roman" w:cs="Times New Roman" w:eastAsia="Times New Roman" w:hAnsi="Times New Roman"/>
          <w:sz w:val="18"/>
          <w:szCs w:val="18"/>
          <w:color w:val="auto"/>
        </w:rPr>
        <w:t>: 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65" w:lineRule="exact"/>
        <w:rPr>
          <w:rFonts w:ascii="Times New Roman" w:cs="Times New Roman" w:eastAsia="Times New Roman" w:hAnsi="Times New Roman"/>
          <w:sz w:val="18"/>
          <w:szCs w:val="18"/>
          <w:color w:val="auto"/>
        </w:rPr>
      </w:pPr>
    </w:p>
    <w:p>
      <w:pPr>
        <w:ind w:left="1820" w:right="879" w:hanging="180"/>
        <w:spacing w:after="0" w:line="267"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resilience</w:t>
      </w:r>
      <w:r>
        <w:rPr>
          <w:rFonts w:ascii="Times New Roman" w:cs="Times New Roman" w:eastAsia="Times New Roman" w:hAnsi="Times New Roman"/>
          <w:sz w:val="18"/>
          <w:szCs w:val="18"/>
          <w:color w:val="auto"/>
        </w:rPr>
        <w:t>: 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78" w:lineRule="exact"/>
        <w:rPr>
          <w:rFonts w:ascii="Times New Roman" w:cs="Times New Roman" w:eastAsia="Times New Roman" w:hAnsi="Times New Roman"/>
          <w:sz w:val="18"/>
          <w:szCs w:val="18"/>
          <w:color w:val="auto"/>
        </w:rPr>
      </w:pPr>
    </w:p>
    <w:p>
      <w:pPr>
        <w:ind w:left="1820" w:right="759" w:hanging="180"/>
        <w:spacing w:after="0" w:line="261"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Resource conservation</w:t>
      </w:r>
      <w:r>
        <w:rPr>
          <w:rFonts w:ascii="Times New Roman" w:cs="Times New Roman" w:eastAsia="Times New Roman" w:hAnsi="Times New Roman"/>
          <w:sz w:val="18"/>
          <w:szCs w:val="18"/>
          <w:color w:val="auto"/>
        </w:rPr>
        <w:t>: Taking full advantage of our solutions can significantly increase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waste. For instance, our water network modeling tools, applied to compare as-designed specifications to observed flows and pressures, can help to non-invasively locate subsurface water network leaks.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13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60" w:lineRule="exact"/>
        <w:rPr>
          <w:sz w:val="20"/>
          <w:szCs w:val="20"/>
          <w:color w:val="auto"/>
        </w:rPr>
      </w:pPr>
    </w:p>
    <w:p>
      <w:pPr>
        <w:ind w:left="1280" w:right="699" w:firstLine="360"/>
        <w:spacing w:after="0" w:line="242"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02" w:lineRule="exact"/>
        <w:rPr>
          <w:sz w:val="20"/>
          <w:szCs w:val="20"/>
          <w:color w:val="auto"/>
        </w:rPr>
      </w:pPr>
    </w:p>
    <w:p>
      <w:pPr>
        <w:ind w:left="1820" w:right="699" w:hanging="180"/>
        <w:spacing w:after="0" w:line="25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with traditional workflows; for example, a 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75" w:lineRule="exact"/>
        <w:rPr>
          <w:rFonts w:ascii="Times New Roman" w:cs="Times New Roman" w:eastAsia="Times New Roman" w:hAnsi="Times New Roman"/>
          <w:sz w:val="18"/>
          <w:szCs w:val="18"/>
          <w:color w:val="auto"/>
        </w:rPr>
      </w:pPr>
    </w:p>
    <w:p>
      <w:pPr>
        <w:ind w:left="1820" w:right="779" w:hanging="180"/>
        <w:spacing w:after="0" w:line="25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of a 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820" w:right="659" w:hanging="180"/>
        <w:spacing w:after="0" w:line="261"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820" w:right="799" w:hanging="180"/>
        <w:spacing w:after="0" w:line="253"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their assets with IoT sensors, producing torrents of Operational Technology (“OT”) data that are difficult to interpret. Software advances in Information Technology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Engineering Technology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48"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91" w:lineRule="exact"/>
        <w:rPr>
          <w:sz w:val="20"/>
          <w:szCs w:val="20"/>
          <w:color w:val="auto"/>
        </w:rPr>
      </w:pPr>
    </w:p>
    <w:p>
      <w:pPr>
        <w:ind w:left="128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324" w:lineRule="exact"/>
        <w:rPr>
          <w:sz w:val="20"/>
          <w:szCs w:val="20"/>
          <w:color w:val="auto"/>
        </w:rPr>
      </w:pPr>
    </w:p>
    <w:p>
      <w:pPr>
        <w:ind w:left="1280" w:right="79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enable 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306" w:lineRule="exact"/>
        <w:rPr>
          <w:sz w:val="20"/>
          <w:szCs w:val="20"/>
          <w:color w:val="auto"/>
        </w:rPr>
      </w:pPr>
    </w:p>
    <w:p>
      <w:pPr>
        <w:ind w:left="1280" w:right="6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projects across the public works/utilities, industrial/resources, and commercial/facilities sectors and for flexibility tend to favor an infrastructure engineering software vendor whose portfolio correspondingly</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979"/>
        <w:spacing w:after="0" w:line="261" w:lineRule="auto"/>
        <w:rPr>
          <w:sz w:val="20"/>
          <w:szCs w:val="20"/>
          <w:color w:val="auto"/>
        </w:rPr>
      </w:pPr>
      <w:r>
        <w:rPr>
          <w:rFonts w:ascii="Times New Roman" w:cs="Times New Roman" w:eastAsia="Times New Roman" w:hAnsi="Times New Roman"/>
          <w:sz w:val="18"/>
          <w:szCs w:val="18"/>
          <w:color w:val="auto"/>
        </w:rPr>
        <w:t>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95" w:lineRule="exact"/>
        <w:rPr>
          <w:sz w:val="20"/>
          <w:szCs w:val="20"/>
          <w:color w:val="auto"/>
        </w:rPr>
      </w:pPr>
    </w:p>
    <w:p>
      <w:pPr>
        <w:ind w:left="1280" w:right="7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practices are 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62" w:lineRule="exact"/>
        <w:rPr>
          <w:sz w:val="20"/>
          <w:szCs w:val="20"/>
          <w:color w:val="auto"/>
        </w:rPr>
      </w:pPr>
    </w:p>
    <w:p>
      <w:pPr>
        <w:ind w:left="1280" w:right="699" w:firstLine="360"/>
        <w:spacing w:after="0" w:line="255"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market opportunity, which we refer to as our serviceable addressable market (“SAM”). We estimate 66% of our SAM is in our existing accounts. We further estimate our global SAM is approximately $9.5 billion, $6.1 billion of which is attributable to project delivery firms and $3.4 billion of which is attributable to owner-operators. Further, of our $9.5 billion SAM, approximately $1.6 billion is in Greater China.</w:t>
      </w:r>
    </w:p>
    <w:p>
      <w:pPr>
        <w:spacing w:after="0" w:line="121"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We also view our market opportunity in terms of the total addressable market (“TAM”), which we believe we can address over the long term. We believe that digital progress in the engineering of constructed infrastructure has to date lagged behind other substantial economic domains, and in particular has lagged behind digital progress — as reflected in spending on engineering software — in the engineering of manufactured products. Cambashi estimates that if engineering software spending would become as intensive in infrastructure engineering as in product engineering, global infrastructure engineering software spending, or our TAM, would be $29.2 billion. We believe that over time our current SAM of $9.5 billion will approach our estimated TAM of $29.2 billion. We also believe that both our SAM and our TAM will further expand over time with the growth of infrastructure spending. See the section titled “Business — Our Opportunity.”</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48" w:lineRule="exact"/>
        <w:rPr>
          <w:sz w:val="20"/>
          <w:szCs w:val="20"/>
          <w:color w:val="auto"/>
        </w:rPr>
      </w:pPr>
    </w:p>
    <w:p>
      <w:pPr>
        <w:ind w:left="1280" w:right="879" w:firstLine="360"/>
        <w:spacing w:after="0" w:line="282" w:lineRule="auto"/>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63" w:lineRule="exact"/>
        <w:rPr>
          <w:sz w:val="20"/>
          <w:szCs w:val="20"/>
          <w:color w:val="auto"/>
        </w:rPr>
      </w:pPr>
    </w:p>
    <w:p>
      <w:pPr>
        <w:ind w:left="1820" w:right="1099" w:hanging="180"/>
        <w:spacing w:after="0" w:line="28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We believe we can further penetrate our existing accounts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broadening their use of our portfolio. There are three primary mechanisms for this expansion:</w:t>
      </w:r>
    </w:p>
    <w:p>
      <w:pPr>
        <w:spacing w:after="0" w:line="62" w:lineRule="exact"/>
        <w:rPr>
          <w:rFonts w:ascii="Times New Roman" w:cs="Times New Roman" w:eastAsia="Times New Roman" w:hAnsi="Times New Roman"/>
          <w:sz w:val="18"/>
          <w:szCs w:val="18"/>
          <w:color w:val="auto"/>
        </w:rPr>
      </w:pPr>
    </w:p>
    <w:p>
      <w:pPr>
        <w:ind w:left="2180" w:right="779" w:hanging="180"/>
        <w:spacing w:after="0" w:line="264"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the use of our software to the needs of our users. We believe the flexibility in our commercial models and deployment options will allow our accounts to grow usage continuously;</w:t>
      </w:r>
    </w:p>
    <w:p>
      <w:pPr>
        <w:spacing w:after="0" w:line="315" w:lineRule="exact"/>
        <w:rPr>
          <w:rFonts w:ascii="Times New Roman" w:cs="Times New Roman" w:eastAsia="Times New Roman" w:hAnsi="Times New Roman"/>
          <w:sz w:val="18"/>
          <w:szCs w:val="18"/>
          <w:color w:val="auto"/>
        </w:rPr>
      </w:pPr>
    </w:p>
    <w:p>
      <w:pPr>
        <w:ind w:left="2180" w:right="819" w:hanging="180"/>
        <w:spacing w:after="0" w:line="267"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leverage these interactive technologies to virtually assist our users and drive engagement across our software offerings; and</w:t>
      </w:r>
    </w:p>
    <w:p>
      <w:pPr>
        <w:spacing w:after="0" w:line="78" w:lineRule="exact"/>
        <w:rPr>
          <w:rFonts w:ascii="Times New Roman" w:cs="Times New Roman" w:eastAsia="Times New Roman" w:hAnsi="Times New Roman"/>
          <w:sz w:val="18"/>
          <w:szCs w:val="18"/>
          <w:color w:val="auto"/>
        </w:rPr>
      </w:pPr>
    </w:p>
    <w:p>
      <w:pPr>
        <w:ind w:left="2180" w:right="859" w:hanging="180"/>
        <w:spacing w:after="0" w:line="261"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Adding new offerings. </w:t>
      </w:r>
      <w:r>
        <w:rPr>
          <w:rFonts w:ascii="Times New Roman" w:cs="Times New Roman" w:eastAsia="Times New Roman" w:hAnsi="Times New Roman"/>
          <w:sz w:val="18"/>
          <w:szCs w:val="18"/>
          <w:color w:val="auto"/>
        </w:rPr>
        <w:t>We have a history of building and maintaining leadership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software engineering comprehensiveness and intend to continue to innovate and develop our software offerings. We intend to continue to develop and integrate new products and capabilities over time;</w:t>
      </w:r>
    </w:p>
    <w:p>
      <w:pPr>
        <w:spacing w:after="0" w:line="83" w:lineRule="exact"/>
        <w:rPr>
          <w:rFonts w:ascii="Times New Roman" w:cs="Times New Roman" w:eastAsia="Times New Roman" w:hAnsi="Times New Roman"/>
          <w:sz w:val="18"/>
          <w:szCs w:val="18"/>
          <w:color w:val="auto"/>
        </w:rPr>
      </w:pPr>
    </w:p>
    <w:p>
      <w:pPr>
        <w:ind w:left="1820" w:right="779" w:hanging="180"/>
        <w:spacing w:after="0" w:line="268"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foreseeable future. We intend to continue investing in strategies to enhance our market position in Asia;</w:t>
      </w:r>
    </w:p>
    <w:p>
      <w:pPr>
        <w:sectPr>
          <w:pgSz w:w="11900" w:h="16838" w:orient="portrait"/>
          <w:cols w:equalWidth="0" w:num="1">
            <w:col w:w="10139"/>
          </w:cols>
          <w:pgMar w:left="320" w:top="114"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20" w:right="759" w:hanging="180"/>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inside sales. </w:t>
      </w:r>
      <w:r>
        <w:rPr>
          <w:rFonts w:ascii="Times New Roman" w:cs="Times New Roman" w:eastAsia="Times New Roman" w:hAnsi="Times New Roman"/>
          <w:sz w:val="18"/>
          <w:szCs w:val="18"/>
          <w:color w:val="auto"/>
        </w:rPr>
        <w:t>We will continue to expand our global inside sales resources and to multiply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reach and effectiveness with superior digital tools to convert leads and to provide the self-service administration that engineering practitioners prefer; and</w:t>
      </w:r>
    </w:p>
    <w:p>
      <w:pPr>
        <w:spacing w:after="0" w:line="62" w:lineRule="exact"/>
        <w:rPr>
          <w:rFonts w:ascii="Times New Roman" w:cs="Times New Roman" w:eastAsia="Times New Roman" w:hAnsi="Times New Roman"/>
          <w:sz w:val="18"/>
          <w:szCs w:val="18"/>
          <w:color w:val="auto"/>
        </w:rPr>
      </w:pPr>
    </w:p>
    <w:p>
      <w:pPr>
        <w:ind w:left="1820" w:right="739" w:hanging="180"/>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engineering supply chain (for example, Topcon, Siemens, and Microsoft), primarily to jointly develop and offer digital twin cloud services that extend the scope of our software.</w:t>
      </w:r>
    </w:p>
    <w:p>
      <w:pPr>
        <w:spacing w:after="0" w:line="76" w:lineRule="exact"/>
        <w:rPr>
          <w:rFonts w:ascii="Times New Roman" w:cs="Times New Roman" w:eastAsia="Times New Roman" w:hAnsi="Times New Roman"/>
          <w:sz w:val="18"/>
          <w:szCs w:val="18"/>
          <w:color w:val="auto"/>
        </w:rPr>
      </w:pPr>
    </w:p>
    <w:p>
      <w:pPr>
        <w:ind w:left="1820" w:right="899" w:hanging="180"/>
        <w:spacing w:after="0" w:line="26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intend to invest in and grow a portfolio of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outside of our core software business with the objective of cultivating an ecosystem of relatively service-intensive, yet profitable, digital integrator businesses that stimulate pull-through demand for our solutions.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8" w:lineRule="exact"/>
        <w:rPr>
          <w:sz w:val="20"/>
          <w:szCs w:val="20"/>
          <w:color w:val="auto"/>
        </w:rPr>
      </w:pPr>
    </w:p>
    <w:p>
      <w:pPr>
        <w:ind w:left="1280" w:right="999" w:firstLine="36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w:t>
      </w:r>
    </w:p>
    <w:p>
      <w:pPr>
        <w:spacing w:after="0" w:line="112" w:lineRule="exact"/>
        <w:rPr>
          <w:sz w:val="20"/>
          <w:szCs w:val="20"/>
          <w:color w:val="auto"/>
        </w:rPr>
      </w:pPr>
    </w:p>
    <w:p>
      <w:pPr>
        <w:ind w:left="1280" w:right="679" w:firstLine="36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120" w:lineRule="exact"/>
        <w:rPr>
          <w:sz w:val="20"/>
          <w:szCs w:val="20"/>
          <w:color w:val="auto"/>
        </w:rPr>
      </w:pPr>
    </w:p>
    <w:p>
      <w:pPr>
        <w:ind w:left="1280" w:right="679" w:firstLine="360"/>
        <w:spacing w:after="0" w:line="255"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w:t>
      </w:r>
    </w:p>
    <w:p>
      <w:pPr>
        <w:spacing w:after="0" w:line="108" w:lineRule="exact"/>
        <w:rPr>
          <w:sz w:val="20"/>
          <w:szCs w:val="20"/>
          <w:color w:val="auto"/>
        </w:rPr>
      </w:pPr>
    </w:p>
    <w:p>
      <w:pPr>
        <w:ind w:left="1280" w:right="659" w:firstLine="360"/>
        <w:spacing w:after="0" w:line="255"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 facilitate collaboration in their own businesses in remote working environments. This guidance and assistance was well received by accounts and we believe helped maximize usage during the observed trough in March and April.</w:t>
      </w:r>
    </w:p>
    <w:p>
      <w:pPr>
        <w:spacing w:after="0" w:line="337" w:lineRule="exact"/>
        <w:rPr>
          <w:sz w:val="20"/>
          <w:szCs w:val="20"/>
          <w:color w:val="auto"/>
        </w:rPr>
      </w:pPr>
    </w:p>
    <w:p>
      <w:pPr>
        <w:ind w:left="1280" w:right="759" w:firstLine="360"/>
        <w:spacing w:after="0" w:line="261"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re-invested in a portfolio of businesses outside of our core software business, with the objective of cultivating an ecosystem of digital integrator businesses.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79" w:firstLine="360"/>
        <w:spacing w:after="0" w:line="241"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 (as defined below).</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Siemens AG (“Siemens”)</w:t>
      </w:r>
    </w:p>
    <w:p>
      <w:pPr>
        <w:spacing w:after="0" w:line="148" w:lineRule="exact"/>
        <w:rPr>
          <w:sz w:val="20"/>
          <w:szCs w:val="20"/>
          <w:color w:val="auto"/>
        </w:rPr>
      </w:pPr>
    </w:p>
    <w:p>
      <w:pPr>
        <w:ind w:left="1280" w:right="739" w:firstLine="360"/>
        <w:spacing w:after="0"/>
        <w:rPr>
          <w:sz w:val="20"/>
          <w:szCs w:val="20"/>
          <w:color w:val="auto"/>
        </w:rPr>
      </w:pPr>
      <w:r>
        <w:rPr>
          <w:rFonts w:ascii="Times New Roman" w:cs="Times New Roman" w:eastAsia="Times New Roman" w:hAnsi="Times New Roman"/>
          <w:sz w:val="18"/>
          <w:szCs w:val="18"/>
          <w:color w:val="auto"/>
        </w:rPr>
        <w:t>As discussed in the section titled “Certain Relationships and Related Party Transactions — Our Relationship with Siemens AG — Common Stock Purchase Agreement,” we, and the Bentley family members party to the Common Stock Purchase Agreement, entered into the Common Stock Purchase Agreement with Siemens in September 2016, pursuant to which we and they have granted Siemens a right of first refusal with respect to certain deemed liquidation events, offers, sales or certain issuances of our capital stock, and with respect to certain transfers of our capital stock by the Bentley family members party thereto. Pursuant to the terms of the Common Stock Purchase Agreement, Siemens’ right of first refusal expires upon the effectiveness of a registration statement in connection with an underwritten initial public offering. Siemens contends that this right of first refusal applies to sales of common stock in an initial public offering by the Company or the Bentley family members party to the Common Stock Purchase Agreement. While we disagree with Siemens’ contention, our initial public offering of Class B common stock will be exclusively by existing holders whose transfers of capital stock are not subject to Siemens’ right of first refusal, and we have not included any shares to be issued by the Company or any shares held by the Bentley family members party to the Common Stock Purchase Agreement in the offering pursuant to this prospectus.</w:t>
      </w:r>
    </w:p>
    <w:p>
      <w:pPr>
        <w:spacing w:after="0" w:line="288" w:lineRule="exact"/>
        <w:rPr>
          <w:sz w:val="20"/>
          <w:szCs w:val="20"/>
          <w:color w:val="auto"/>
        </w:rPr>
      </w:pPr>
    </w:p>
    <w:p>
      <w:pPr>
        <w:ind w:left="1280" w:right="123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relationship with Siemens is discussed in the section titled “Certain Relationships and Related Party Transactions — Our Relationship with Siemens AG.”</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Potential for Post-IPO Follow-On Offering</w:t>
      </w:r>
    </w:p>
    <w:p>
      <w:pPr>
        <w:spacing w:after="0" w:line="162" w:lineRule="exact"/>
        <w:rPr>
          <w:sz w:val="20"/>
          <w:szCs w:val="20"/>
          <w:color w:val="auto"/>
        </w:rPr>
      </w:pPr>
    </w:p>
    <w:p>
      <w:pPr>
        <w:ind w:left="1280" w:right="699" w:firstLine="360"/>
        <w:spacing w:after="0" w:line="238" w:lineRule="auto"/>
        <w:rPr>
          <w:sz w:val="20"/>
          <w:szCs w:val="20"/>
          <w:color w:val="auto"/>
        </w:rPr>
      </w:pPr>
      <w:r>
        <w:rPr>
          <w:rFonts w:ascii="Times New Roman" w:cs="Times New Roman" w:eastAsia="Times New Roman" w:hAnsi="Times New Roman"/>
          <w:sz w:val="18"/>
          <w:szCs w:val="18"/>
          <w:color w:val="auto"/>
        </w:rPr>
        <w:t>Following the effectiveness of the registration statement of which this prospectus forms a part, Siemens’ right of first refusal will terminate. Following the completion of this offering, we intend to evaluate opportunities to then undertake a primary offering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and such lock-up agreement expires 180 days following the date of this prospectus. See the section titled “Underwriting” for additional information regarding our lock-up agreement with the underwriters.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New Term Loan and Payment of Special Dividend</w:t>
      </w:r>
    </w:p>
    <w:p>
      <w:pPr>
        <w:spacing w:after="0" w:line="148" w:lineRule="exact"/>
        <w:rPr>
          <w:sz w:val="20"/>
          <w:szCs w:val="20"/>
          <w:color w:val="auto"/>
        </w:rPr>
      </w:pPr>
    </w:p>
    <w:p>
      <w:pPr>
        <w:ind w:left="1280" w:right="659" w:firstLine="360"/>
        <w:spacing w:after="0" w:line="238" w:lineRule="auto"/>
        <w:rPr>
          <w:sz w:val="20"/>
          <w:szCs w:val="20"/>
          <w:color w:val="auto"/>
        </w:rPr>
      </w:pPr>
      <w:r>
        <w:rPr>
          <w:rFonts w:ascii="Times New Roman" w:cs="Times New Roman" w:eastAsia="Times New Roman" w:hAnsi="Times New Roman"/>
          <w:sz w:val="18"/>
          <w:szCs w:val="18"/>
          <w:color w:val="auto"/>
        </w:rPr>
        <w:t>On September 2, 2020, we entered into an amendment (“First Amendment”) to the Amended and Restated Credit Agreement, dated as of December 19, 2017, by and among Bentley Systems, PNC Bank National Association, as administrative agent, and the lenders party thereto (the “Credit Facility”). The First Amendment provided for a $125.0 million senior secured term loan with a maturity of December 18, 2022 (the “New Term Loan”) and included certain other amendments, including the addition of a mandatory prepayment provision requiring us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w:t>
      </w:r>
    </w:p>
    <w:p>
      <w:pPr>
        <w:spacing w:after="0" w:line="124" w:lineRule="exact"/>
        <w:rPr>
          <w:sz w:val="20"/>
          <w:szCs w:val="20"/>
          <w:color w:val="auto"/>
        </w:rPr>
      </w:pPr>
    </w:p>
    <w:p>
      <w:pPr>
        <w:ind w:left="1280" w:right="779" w:firstLine="360"/>
        <w:spacing w:after="0" w:line="241" w:lineRule="auto"/>
        <w:rPr>
          <w:sz w:val="20"/>
          <w:szCs w:val="20"/>
          <w:color w:val="auto"/>
        </w:rPr>
      </w:pPr>
      <w:r>
        <w:rPr>
          <w:rFonts w:ascii="Times New Roman" w:cs="Times New Roman" w:eastAsia="Times New Roman" w:hAnsi="Times New Roman"/>
          <w:sz w:val="18"/>
          <w:szCs w:val="18"/>
          <w:color w:val="auto"/>
        </w:rPr>
        <w:t>On August 28, 2020, our Board of Directors declared a special dividend of $1.50 per share of our common stock (approximately $390 million in the aggregate) (the “Special Dividend”) and a regular quarterly dividend of $0.03 per share of our common stock. The record date for each of the Special Dividend and the regular quarterly dividend was August 31, 2020 and the Special Dividend and the regular quarterly dividend were payable on September 2, 2020 and September 3, 2020, respectively, subject, in the case of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939"/>
        <w:spacing w:after="0" w:line="282" w:lineRule="auto"/>
        <w:rPr>
          <w:sz w:val="20"/>
          <w:szCs w:val="20"/>
          <w:color w:val="auto"/>
        </w:rPr>
      </w:pPr>
      <w:r>
        <w:rPr>
          <w:rFonts w:ascii="Times New Roman" w:cs="Times New Roman" w:eastAsia="Times New Roman" w:hAnsi="Times New Roman"/>
          <w:sz w:val="18"/>
          <w:szCs w:val="18"/>
          <w:color w:val="auto"/>
        </w:rPr>
        <w:t>Special Dividend, to the entry into the First Amendment. We used borrowings under the New Term Loan and under the revolving facility under the Credit Facility to pay such dividends.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48" w:lineRule="exact"/>
        <w:rPr>
          <w:sz w:val="20"/>
          <w:szCs w:val="20"/>
          <w:color w:val="auto"/>
        </w:rPr>
      </w:pPr>
    </w:p>
    <w:p>
      <w:pPr>
        <w:ind w:left="1280" w:right="739" w:firstLine="360"/>
        <w:spacing w:after="0" w:line="261" w:lineRule="auto"/>
        <w:rPr>
          <w:sz w:val="20"/>
          <w:szCs w:val="20"/>
          <w:color w:val="auto"/>
        </w:rPr>
      </w:pPr>
      <w:r>
        <w:rPr>
          <w:rFonts w:ascii="Times New Roman" w:cs="Times New Roman" w:eastAsia="Times New Roman" w:hAnsi="Times New Roman"/>
          <w:sz w:val="18"/>
          <w:szCs w:val="18"/>
          <w:color w:val="auto"/>
        </w:rPr>
        <w:t>Investing in our Class B common stock involves a high degree of risk. You should carefully consider all information in this prospectus prior to investing in our Class B common stock. These risks are discussed more fully in the section titled “Risk Factors.” These risks and uncertainties include, but are not limited to, the following:</w:t>
      </w:r>
    </w:p>
    <w:p>
      <w:pPr>
        <w:spacing w:after="0" w:line="85" w:lineRule="exact"/>
        <w:rPr>
          <w:sz w:val="20"/>
          <w:szCs w:val="20"/>
          <w:color w:val="auto"/>
        </w:rPr>
      </w:pPr>
    </w:p>
    <w:p>
      <w:pPr>
        <w:ind w:left="1820" w:right="9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software solutions is subject to volatility in our accounts’ underlying businesses, which includes infrastructure projects that typically have long timelines;</w:t>
      </w:r>
    </w:p>
    <w:p>
      <w:pPr>
        <w:spacing w:after="0" w:line="53" w:lineRule="exact"/>
        <w:rPr>
          <w:rFonts w:ascii="Times New Roman" w:cs="Times New Roman" w:eastAsia="Times New Roman" w:hAnsi="Times New Roman"/>
          <w:sz w:val="18"/>
          <w:szCs w:val="18"/>
          <w:color w:val="auto"/>
        </w:rPr>
      </w:pPr>
    </w:p>
    <w:p>
      <w:pPr>
        <w:ind w:left="1820" w:right="99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67" w:lineRule="exact"/>
        <w:rPr>
          <w:rFonts w:ascii="Times New Roman" w:cs="Times New Roman" w:eastAsia="Times New Roman" w:hAnsi="Times New Roman"/>
          <w:sz w:val="18"/>
          <w:szCs w:val="18"/>
          <w:color w:val="auto"/>
        </w:rPr>
      </w:pPr>
    </w:p>
    <w:p>
      <w:pPr>
        <w:ind w:left="1820" w:right="71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820" w:right="111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may negatively impact our business, financial results and financial condition;</w:t>
      </w:r>
    </w:p>
    <w:p>
      <w:pPr>
        <w:spacing w:after="0" w:line="53"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investment by APAC, including China, may have a negative effect on our business;</w:t>
      </w:r>
    </w:p>
    <w:p>
      <w:pPr>
        <w:spacing w:after="0" w:line="11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coronavirus outbreak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1820" w:right="93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for some of our solutions can be long and unpredictable and requires considerable time and expense, which may cause our results of operations to fluctuate;</w:t>
      </w:r>
    </w:p>
    <w:p>
      <w:pPr>
        <w:spacing w:after="0" w:line="67" w:lineRule="exact"/>
        <w:rPr>
          <w:rFonts w:ascii="Times New Roman" w:cs="Times New Roman" w:eastAsia="Times New Roman" w:hAnsi="Times New Roman"/>
          <w:sz w:val="18"/>
          <w:szCs w:val="18"/>
          <w:color w:val="auto"/>
        </w:rPr>
      </w:pPr>
    </w:p>
    <w:p>
      <w:pPr>
        <w:ind w:left="1820" w:right="65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keep pace with technological changes, and effectively market our new product solutions, our solutions may become less competitive and our business may suffer;</w:t>
      </w:r>
    </w:p>
    <w:p>
      <w:pPr>
        <w:spacing w:after="0" w:line="53" w:lineRule="exact"/>
        <w:rPr>
          <w:rFonts w:ascii="Times New Roman" w:cs="Times New Roman" w:eastAsia="Times New Roman" w:hAnsi="Times New Roman"/>
          <w:sz w:val="18"/>
          <w:szCs w:val="18"/>
          <w:color w:val="auto"/>
        </w:rPr>
      </w:pPr>
    </w:p>
    <w:p>
      <w:pPr>
        <w:ind w:left="1820" w:right="1179" w:hanging="180"/>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71" w:lineRule="exact"/>
        <w:rPr>
          <w:rFonts w:ascii="Times New Roman" w:cs="Times New Roman" w:eastAsia="Times New Roman" w:hAnsi="Times New Roman"/>
          <w:sz w:val="18"/>
          <w:szCs w:val="18"/>
          <w:color w:val="auto"/>
        </w:rPr>
      </w:pPr>
    </w:p>
    <w:p>
      <w:pPr>
        <w:ind w:left="1820" w:right="979" w:hanging="180"/>
        <w:spacing w:after="0" w:line="258"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75"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30" w:lineRule="exact"/>
        <w:rPr>
          <w:rFonts w:ascii="Times New Roman" w:cs="Times New Roman" w:eastAsia="Times New Roman" w:hAnsi="Times New Roman"/>
          <w:sz w:val="18"/>
          <w:szCs w:val="18"/>
          <w:color w:val="auto"/>
        </w:rPr>
      </w:pPr>
    </w:p>
    <w:p>
      <w:pPr>
        <w:jc w:val="both"/>
        <w:ind w:left="1820" w:right="95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increase the number of new subscription-based accounts or cause existing accounts to renew their subscriptions, which could have a negative impact on our future revenues and results of operations;</w:t>
      </w:r>
    </w:p>
    <w:p>
      <w:pPr>
        <w:spacing w:after="0" w:line="67" w:lineRule="exact"/>
        <w:rPr>
          <w:rFonts w:ascii="Times New Roman" w:cs="Times New Roman" w:eastAsia="Times New Roman" w:hAnsi="Times New Roman"/>
          <w:sz w:val="18"/>
          <w:szCs w:val="18"/>
          <w:color w:val="auto"/>
        </w:rPr>
      </w:pPr>
    </w:p>
    <w:p>
      <w:pPr>
        <w:ind w:left="1820" w:right="7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recognition policy and other factors may create volatility in our financial results in any given period and make them difficult to predict;</w:t>
      </w:r>
    </w:p>
    <w:p>
      <w:pPr>
        <w:spacing w:after="0" w:line="53" w:lineRule="exact"/>
        <w:rPr>
          <w:rFonts w:ascii="Times New Roman" w:cs="Times New Roman" w:eastAsia="Times New Roman" w:hAnsi="Times New Roman"/>
          <w:sz w:val="18"/>
          <w:szCs w:val="18"/>
          <w:color w:val="auto"/>
        </w:rPr>
      </w:pPr>
    </w:p>
    <w:p>
      <w:pPr>
        <w:ind w:left="1820" w:right="85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 could impair our ability to protect our proprietary technology and our brand;</w:t>
      </w:r>
    </w:p>
    <w:p>
      <w:pPr>
        <w:spacing w:after="0" w:line="53" w:lineRule="exact"/>
        <w:rPr>
          <w:rFonts w:ascii="Times New Roman" w:cs="Times New Roman" w:eastAsia="Times New Roman" w:hAnsi="Times New Roman"/>
          <w:sz w:val="18"/>
          <w:szCs w:val="18"/>
          <w:color w:val="auto"/>
        </w:rPr>
      </w:pPr>
    </w:p>
    <w:p>
      <w:pPr>
        <w:ind w:left="1820" w:right="10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personnel, and we could be subject to substantial risk of loss if any of them terminate their relationship with us;</w:t>
      </w:r>
    </w:p>
    <w:p>
      <w:pPr>
        <w:spacing w:after="0" w:line="67" w:lineRule="exact"/>
        <w:rPr>
          <w:rFonts w:ascii="Times New Roman" w:cs="Times New Roman" w:eastAsia="Times New Roman" w:hAnsi="Times New Roman"/>
          <w:sz w:val="18"/>
          <w:szCs w:val="18"/>
          <w:color w:val="auto"/>
        </w:rPr>
      </w:pPr>
    </w:p>
    <w:p>
      <w:pPr>
        <w:ind w:left="1820" w:right="77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you may be unable to sell your shares at or above the offering price, if at all. Market volatility may affect the value of an investment in our Class B common stock and could subject us to litigation;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699" w:hanging="180"/>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B common stock prior to this offering, and you may not be able to resell our shares at or above the price you paid, or at all. In addition, the limited public float of our Class B common stock following this offering could adversely impact the trading price of our Class B common stock; and</w:t>
      </w:r>
    </w:p>
    <w:p>
      <w:pPr>
        <w:spacing w:after="0" w:line="44" w:lineRule="exact"/>
        <w:rPr>
          <w:rFonts w:ascii="Times New Roman" w:cs="Times New Roman" w:eastAsia="Times New Roman" w:hAnsi="Times New Roman"/>
          <w:sz w:val="18"/>
          <w:szCs w:val="18"/>
          <w:color w:val="auto"/>
        </w:rPr>
      </w:pPr>
    </w:p>
    <w:p>
      <w:pPr>
        <w:ind w:left="1820" w:right="779" w:hanging="180"/>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Bentley Control Group.</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Channels for Disclosure of Information</w:t>
      </w:r>
    </w:p>
    <w:p>
      <w:pPr>
        <w:spacing w:after="0" w:line="148" w:lineRule="exact"/>
        <w:rPr>
          <w:sz w:val="20"/>
          <w:szCs w:val="20"/>
          <w:color w:val="auto"/>
        </w:rPr>
      </w:pPr>
    </w:p>
    <w:p>
      <w:pPr>
        <w:ind w:left="1280" w:right="879" w:firstLine="360"/>
        <w:spacing w:after="0" w:line="246" w:lineRule="auto"/>
        <w:rPr>
          <w:sz w:val="20"/>
          <w:szCs w:val="20"/>
          <w:color w:val="auto"/>
        </w:rPr>
      </w:pPr>
      <w:r>
        <w:rPr>
          <w:rFonts w:ascii="Times New Roman" w:cs="Times New Roman" w:eastAsia="Times New Roman" w:hAnsi="Times New Roman"/>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pacing w:after="0" w:line="322" w:lineRule="exact"/>
        <w:rPr>
          <w:sz w:val="20"/>
          <w:szCs w:val="20"/>
          <w:color w:val="auto"/>
        </w:rPr>
      </w:pPr>
    </w:p>
    <w:p>
      <w:pPr>
        <w:jc w:val="both"/>
        <w:ind w:left="1280" w:right="879" w:firstLine="360"/>
        <w:spacing w:after="0" w:line="250"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09" w:lineRule="exact"/>
        <w:rPr>
          <w:sz w:val="20"/>
          <w:szCs w:val="20"/>
          <w:color w:val="auto"/>
        </w:rPr>
      </w:pPr>
    </w:p>
    <w:p>
      <w:pPr>
        <w:ind w:left="1280" w:right="1059" w:firstLine="360"/>
        <w:spacing w:after="0" w:line="266"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148" w:lineRule="exact"/>
        <w:rPr>
          <w:sz w:val="20"/>
          <w:szCs w:val="20"/>
          <w:color w:val="auto"/>
        </w:rPr>
      </w:pPr>
    </w:p>
    <w:p>
      <w:pPr>
        <w:jc w:val="both"/>
        <w:ind w:left="1280" w:right="679" w:firstLine="360"/>
        <w:spacing w:after="0" w:line="242" w:lineRule="auto"/>
        <w:rPr>
          <w:sz w:val="20"/>
          <w:szCs w:val="20"/>
          <w:color w:val="auto"/>
        </w:rPr>
      </w:pPr>
      <w:r>
        <w:rPr>
          <w:rFonts w:ascii="Times New Roman" w:cs="Times New Roman" w:eastAsia="Times New Roman" w:hAnsi="Times New Roman"/>
          <w:sz w:val="18"/>
          <w:szCs w:val="18"/>
          <w:color w:val="auto"/>
        </w:rPr>
        <w:t>Bentley Systems, Incorporated was incorporated in Delaware in 1987. We were originally incorporated in California in 1984 upon our founding. Our principal offices are located at 685 Stockton Drive, Exton, PA 19341, and our telephone number is (610) 458 -5000. Our website address is www.bentley.com. Information contained on, or that can be accessed through, our website does not constitute part of this prospectus and the inclusion of our website address in this prospectus is an inactive textual reference only.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w:t>
      </w:r>
    </w:p>
    <w:p>
      <w:pPr>
        <w:spacing w:after="0" w:line="162" w:lineRule="exact"/>
        <w:rPr>
          <w:sz w:val="20"/>
          <w:szCs w:val="20"/>
          <w:color w:val="auto"/>
        </w:rPr>
      </w:pPr>
    </w:p>
    <w:p>
      <w:pPr>
        <w:ind w:left="1280" w:right="679" w:firstLine="360"/>
        <w:spacing w:after="0"/>
        <w:rPr>
          <w:sz w:val="20"/>
          <w:szCs w:val="20"/>
          <w:color w:val="auto"/>
        </w:rPr>
      </w:pPr>
      <w:r>
        <w:rPr>
          <w:rFonts w:ascii="Times New Roman" w:cs="Times New Roman" w:eastAsia="Times New Roman" w:hAnsi="Times New Roman"/>
          <w:sz w:val="18"/>
          <w:szCs w:val="18"/>
          <w:color w:val="auto"/>
        </w:rPr>
        <w:t>The Jumpstart Our Business Startups Act (the “JOBS Act”) was enacted in April 2012 with the intention of encouraging capital formation in the United States and reducing the regulatory burden on newly-public companies that qualify as “emerging growth companies.” We are an “emerging growth company” within the meaning of the JOBS Act. As an “emerging growth company,” we intend to take advantage of certain exemptions from various public reporting requirements, including the requirement that our internal control over financial reporting be audited by our independent registered public accounting firm pursuant to Section 404 of the Sarbanes- Oxley Act of 2002 (the “Sarbanes-Oxley Act”), certain requirements related to the disclosure of executive compensation in this prospectus and in our periodic reports and proxy statements, and the requirement that we hold a non-binding advisory vote on executive compensation and any golden parachute payments.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w:t>
      </w:r>
    </w:p>
    <w:p>
      <w:pPr>
        <w:spacing w:after="0" w:line="293" w:lineRule="exact"/>
        <w:rPr>
          <w:sz w:val="20"/>
          <w:szCs w:val="20"/>
          <w:color w:val="auto"/>
        </w:rPr>
      </w:pPr>
    </w:p>
    <w:p>
      <w:pPr>
        <w:ind w:left="1280" w:right="799" w:firstLine="360"/>
        <w:spacing w:after="0" w:line="242"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avail ourselves of this exemption from new or revised accounting standards. Accordingly, we will not be subject to the same new or revised accounting standards as other public companies that are not “emerging growth companies.”</w:t>
      </w:r>
    </w:p>
    <w:p>
      <w:pPr>
        <w:spacing w:after="0" w:line="104" w:lineRule="exact"/>
        <w:rPr>
          <w:sz w:val="20"/>
          <w:szCs w:val="20"/>
          <w:color w:val="auto"/>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 -convertible debt securities; and (iv) the last day of the fiscal year ending after the fifth anniversary of the completion of this offering.</w:t>
      </w:r>
    </w:p>
    <w:p>
      <w:pPr>
        <w:spacing w:after="0" w:line="117" w:lineRule="exact"/>
        <w:rPr>
          <w:sz w:val="20"/>
          <w:szCs w:val="20"/>
          <w:color w:val="auto"/>
        </w:rPr>
      </w:pPr>
    </w:p>
    <w:p>
      <w:pPr>
        <w:ind w:left="1280" w:right="919" w:firstLine="360"/>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the section titled “Risk Factors — Risks Related to Our Business and Industry — We are an ‘emerging growth company,’ and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339"/>
        <w:spacing w:after="0" w:line="282" w:lineRule="auto"/>
        <w:rPr>
          <w:sz w:val="20"/>
          <w:szCs w:val="20"/>
          <w:color w:val="auto"/>
        </w:rPr>
      </w:pPr>
      <w:r>
        <w:rPr>
          <w:rFonts w:ascii="Times New Roman" w:cs="Times New Roman" w:eastAsia="Times New Roman" w:hAnsi="Times New Roman"/>
          <w:sz w:val="18"/>
          <w:szCs w:val="18"/>
          <w:color w:val="auto"/>
        </w:rPr>
        <w:t>reduced disclosure requirements applicable to ‘emerging growth companies’ may make our Class B common stock less attractive to investors.”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Company Status</w:t>
      </w:r>
    </w:p>
    <w:p>
      <w:pPr>
        <w:spacing w:after="0" w:line="148" w:lineRule="exact"/>
        <w:rPr>
          <w:sz w:val="20"/>
          <w:szCs w:val="20"/>
          <w:color w:val="auto"/>
        </w:rPr>
      </w:pPr>
    </w:p>
    <w:p>
      <w:pPr>
        <w:ind w:left="1280" w:right="719" w:firstLine="360"/>
        <w:spacing w:after="0" w:line="252" w:lineRule="auto"/>
        <w:rPr>
          <w:sz w:val="20"/>
          <w:szCs w:val="20"/>
          <w:color w:val="auto"/>
        </w:rPr>
      </w:pPr>
      <w:r>
        <w:rPr>
          <w:rFonts w:ascii="Times New Roman" w:cs="Times New Roman" w:eastAsia="Times New Roman" w:hAnsi="Times New Roman"/>
          <w:sz w:val="18"/>
          <w:szCs w:val="18"/>
          <w:color w:val="auto"/>
        </w:rPr>
        <w:t>We will be a “controlled company” within the meaning of the Nasdaq Listing Rules and its corporate governance requirements. Under these rules, a company for which more than 50% of the voting power for the election of directors is held by an individual, group, or another company is a “controlled company” and may elect not to comply with certain of the Nasdaq Listing Rules’ corporate governance requirements, including: (i) the requirement that a majority of our board of directors consist of “independent directors” as defined under the Nasdaq Listing Rules; (ii) the requirement that we have a compensation committee that is composed entirely of independent directors; and (iii) the requirement that we have a nominating and corporate governance committee that is composed entirely of independent directors. We intend to use these exemptions upon our listing. As a result, we will not have a majority of independent directors on our board of directors. Additionally, upon completion of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 Accordingly, in the future our stockholders may not have the same protections afforded to stockholders of companies that are subject to all of the Nasdaq Listing Rules’ corporate governance requirements.</w:t>
      </w:r>
    </w:p>
    <w:p>
      <w:pPr>
        <w:spacing w:after="0" w:line="344" w:lineRule="exact"/>
        <w:rPr>
          <w:sz w:val="20"/>
          <w:szCs w:val="20"/>
          <w:color w:val="auto"/>
        </w:rPr>
      </w:pPr>
    </w:p>
    <w:p>
      <w:pPr>
        <w:ind w:left="1280" w:right="69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Bentley Systems held by (i) the Bentleys and certain of their family members, trusts or other permitted transferees, as well as all other holders of our Class A common stock in respect of such shares of Class A common stock, who collectively are acting as a group (the “Bentley Control Group”), (ii) the Bentleys, certain other family members and trusts and other entities controlled by or primarily for the benefit of the Bentleys and their families (the “Bentley Family”), (iii) colleagues and other existing stockholders, and (iv) public stockholders, each upon the completion of this offering:</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 of Class B</w:t>
            </w: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Total Economic Interests</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Combined Voting Power</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Bentley Control Group</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11,601,757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58,831,619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70,433,376</w:t>
            </w:r>
          </w:p>
        </w:tc>
        <w:tc>
          <w:tcPr>
            <w:tcW w:w="20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395,282,572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Bentley Family</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11,263,492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163,415,356</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174,678,848</w:t>
            </w:r>
          </w:p>
        </w:tc>
        <w:tc>
          <w:tcPr>
            <w:tcW w:w="2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490,056,624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Colleagues and other existing</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480" w:type="dxa"/>
            <w:vAlign w:val="bottom"/>
          </w:tcPr>
          <w:p>
            <w:pPr>
              <w:ind w:left="180"/>
              <w:spacing w:after="0" w:line="283"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6"/>
                <w:szCs w:val="26"/>
                <w:color w:val="auto"/>
                <w:vertAlign w:val="superscript"/>
              </w:rPr>
              <w:t>(1)</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75,679,426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75,679,426</w:t>
            </w:r>
          </w:p>
        </w:tc>
        <w:tc>
          <w:tcPr>
            <w:tcW w:w="2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75,679,426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10,750,000</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10,750,000</w:t>
            </w:r>
          </w:p>
        </w:tc>
        <w:tc>
          <w:tcPr>
            <w:tcW w:w="2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(1)</w:t>
        <w:tab/>
        <w:t>Excludes any shares that vote with the Bentley Control Group.</w:t>
      </w:r>
    </w:p>
    <w:p>
      <w:pPr>
        <w:spacing w:after="0" w:line="158" w:lineRule="exact"/>
        <w:rPr>
          <w:sz w:val="20"/>
          <w:szCs w:val="20"/>
          <w:color w:val="auto"/>
        </w:rPr>
      </w:pPr>
    </w:p>
    <w:p>
      <w:pPr>
        <w:ind w:left="1280" w:right="679" w:firstLine="36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All of our Class A common stock also will automatically convert into shares of our Class B common stock upon the affirmative vote of at least 90% of the then outstanding shares of Class A common stock or such time that the Bentley Family, collectively, directly or indirectly, own less than 20% of our issued and outstanding Class B common stock on a fully diluted basis (assuming the conversion of all issued and outstanding Class A common stock).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See the section titled “Description of Capital Stock — Common Stock — Voting Rights” for additional information.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Bentley Systems, Incorporated</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B common stock offered by the</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selling stockholders</w:t>
      </w:r>
      <w:r>
        <w:rPr>
          <w:sz w:val="20"/>
          <w:szCs w:val="20"/>
          <w:color w:val="auto"/>
        </w:rPr>
        <w:tab/>
      </w:r>
      <w:r>
        <w:rPr>
          <w:rFonts w:ascii="Times New Roman" w:cs="Times New Roman" w:eastAsia="Times New Roman" w:hAnsi="Times New Roman"/>
          <w:sz w:val="18"/>
          <w:szCs w:val="18"/>
          <w:color w:val="auto"/>
        </w:rPr>
        <w:t>10,750,000 shares (12,360,991 shares in the event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in full)</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to be outstanding after</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this offering:</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8"/>
          <w:szCs w:val="18"/>
          <w:color w:val="auto"/>
        </w:rPr>
        <w:t>11,601,757 shares</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Class B common stock</w:t>
      </w:r>
      <w:r>
        <w:rPr>
          <w:sz w:val="20"/>
          <w:szCs w:val="20"/>
          <w:color w:val="auto"/>
        </w:rPr>
        <w:tab/>
      </w:r>
      <w:r>
        <w:rPr>
          <w:rFonts w:ascii="Times New Roman" w:cs="Times New Roman" w:eastAsia="Times New Roman" w:hAnsi="Times New Roman"/>
          <w:sz w:val="18"/>
          <w:szCs w:val="18"/>
          <w:color w:val="auto"/>
        </w:rPr>
        <w:t>249,632,970 shares</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shares of common stock to be</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outstanding after this offering</w:t>
      </w:r>
      <w:r>
        <w:rPr>
          <w:sz w:val="20"/>
          <w:szCs w:val="20"/>
          <w:color w:val="auto"/>
        </w:rPr>
        <w:tab/>
      </w:r>
      <w:r>
        <w:rPr>
          <w:rFonts w:ascii="Times New Roman" w:cs="Times New Roman" w:eastAsia="Times New Roman" w:hAnsi="Times New Roman"/>
          <w:sz w:val="18"/>
          <w:szCs w:val="18"/>
          <w:color w:val="auto"/>
        </w:rPr>
        <w:t>261,234,727 shares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Each share of our Class A common stock will be entitled to 29</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votes per share and is convertible into one share of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B common stock at any time at a holder’s option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automatically upon certain transfers, provided, however, that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 any such time, and thereafter, as none of Barry J. Bentley,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Gregory S. Bentley, Keith A. Bentley or Raymond B. Bentley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is an executive officer or director of the Company, the holders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our Class A common stock will be entitled to 11 votes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All of our Class A common stock also will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automatically convert into shares of our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upon the affirmative vote of at least 90% of the then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outstanding shares of Class A common stock or such time that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Bentley Family, collectively, directly or indirectly, own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less than 20% of our issued and outstanding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on a fully-diluted basis (assuming the conversion of all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issued and outstanding Class A common stock). Each share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our Class B common stock will be entitled to one vote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and is not convertible into any other shares of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capital stock. Holders of our Class A common stock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B common stock will generally vote together as a single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unless otherwise required by our amended and restated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certificate of incorporation or law.</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shares of our Class A common stock outstanding after this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offering will represent approximately 4.4% of the total number</w:t>
      </w:r>
    </w:p>
    <w:p>
      <w:pPr>
        <w:ind w:left="4740"/>
        <w:spacing w:after="0" w:line="234" w:lineRule="auto"/>
        <w:rPr>
          <w:sz w:val="20"/>
          <w:szCs w:val="20"/>
          <w:color w:val="auto"/>
        </w:rPr>
      </w:pPr>
      <w:r>
        <w:rPr>
          <w:rFonts w:ascii="Times New Roman" w:cs="Times New Roman" w:eastAsia="Times New Roman" w:hAnsi="Times New Roman"/>
          <w:sz w:val="18"/>
          <w:szCs w:val="18"/>
          <w:color w:val="auto"/>
        </w:rPr>
        <w:t>of shares of our Class A and Class B common stock</w:t>
      </w:r>
    </w:p>
    <w:p>
      <w:pPr>
        <w:ind w:left="4740"/>
        <w:spacing w:after="0" w:line="235" w:lineRule="auto"/>
        <w:rPr>
          <w:sz w:val="20"/>
          <w:szCs w:val="20"/>
          <w:color w:val="auto"/>
        </w:rPr>
      </w:pPr>
      <w:r>
        <w:rPr>
          <w:rFonts w:ascii="Times New Roman" w:cs="Times New Roman" w:eastAsia="Times New Roman" w:hAnsi="Times New Roman"/>
          <w:sz w:val="18"/>
          <w:szCs w:val="18"/>
          <w:color w:val="auto"/>
        </w:rPr>
        <w:t>outstanding after this offering and 57.4% of the combined</w:t>
      </w:r>
    </w:p>
    <w:p>
      <w:pPr>
        <w:ind w:left="4740"/>
        <w:spacing w:after="0" w:line="235" w:lineRule="auto"/>
        <w:rPr>
          <w:sz w:val="20"/>
          <w:szCs w:val="20"/>
          <w:color w:val="auto"/>
        </w:rPr>
      </w:pPr>
      <w:r>
        <w:rPr>
          <w:rFonts w:ascii="Times New Roman" w:cs="Times New Roman" w:eastAsia="Times New Roman" w:hAnsi="Times New Roman"/>
          <w:sz w:val="18"/>
          <w:szCs w:val="18"/>
          <w:color w:val="auto"/>
        </w:rPr>
        <w:t>voting power of our Class A and Class B common stock, and</w:t>
      </w:r>
    </w:p>
    <w:p>
      <w:pPr>
        <w:ind w:left="4740"/>
        <w:spacing w:after="0" w:line="235" w:lineRule="auto"/>
        <w:rPr>
          <w:sz w:val="20"/>
          <w:szCs w:val="20"/>
          <w:color w:val="auto"/>
        </w:rPr>
      </w:pPr>
      <w:r>
        <w:rPr>
          <w:rFonts w:ascii="Times New Roman" w:cs="Times New Roman" w:eastAsia="Times New Roman" w:hAnsi="Times New Roman"/>
          <w:sz w:val="18"/>
          <w:szCs w:val="18"/>
          <w:color w:val="auto"/>
        </w:rPr>
        <w:t>the Bentley Control Group and the Bentley Family will hold</w:t>
      </w:r>
    </w:p>
    <w:p>
      <w:pPr>
        <w:ind w:left="4740"/>
        <w:spacing w:after="0" w:line="235" w:lineRule="auto"/>
        <w:rPr>
          <w:sz w:val="20"/>
          <w:szCs w:val="20"/>
          <w:color w:val="auto"/>
        </w:rPr>
      </w:pPr>
      <w:r>
        <w:rPr>
          <w:rFonts w:ascii="Times New Roman" w:cs="Times New Roman" w:eastAsia="Times New Roman" w:hAnsi="Times New Roman"/>
          <w:sz w:val="18"/>
          <w:szCs w:val="18"/>
          <w:color w:val="auto"/>
        </w:rPr>
        <w:t>or have the ability to control approximately 67.4% and 83.6%,</w:t>
      </w:r>
    </w:p>
    <w:p>
      <w:pPr>
        <w:ind w:left="4740"/>
        <w:spacing w:after="0" w:line="234" w:lineRule="auto"/>
        <w:rPr>
          <w:sz w:val="20"/>
          <w:szCs w:val="20"/>
          <w:color w:val="auto"/>
        </w:rPr>
      </w:pPr>
      <w:r>
        <w:rPr>
          <w:rFonts w:ascii="Times New Roman" w:cs="Times New Roman" w:eastAsia="Times New Roman" w:hAnsi="Times New Roman"/>
          <w:sz w:val="18"/>
          <w:szCs w:val="18"/>
          <w:color w:val="auto"/>
        </w:rPr>
        <w:t>respectively, of the voting power of our outstanding capital</w:t>
      </w:r>
    </w:p>
    <w:p>
      <w:pPr>
        <w:ind w:left="4740"/>
        <w:spacing w:after="0" w:line="235" w:lineRule="auto"/>
        <w:rPr>
          <w:sz w:val="20"/>
          <w:szCs w:val="20"/>
          <w:color w:val="auto"/>
        </w:rPr>
      </w:pPr>
      <w:r>
        <w:rPr>
          <w:rFonts w:ascii="Times New Roman" w:cs="Times New Roman" w:eastAsia="Times New Roman" w:hAnsi="Times New Roman"/>
          <w:sz w:val="18"/>
          <w:szCs w:val="18"/>
          <w:color w:val="auto"/>
        </w:rPr>
        <w:t>stock. The Bentley Control Group will have the ability to</w:t>
      </w:r>
    </w:p>
    <w:p>
      <w:pPr>
        <w:ind w:left="4740"/>
        <w:spacing w:after="0" w:line="235" w:lineRule="auto"/>
        <w:rPr>
          <w:sz w:val="20"/>
          <w:szCs w:val="20"/>
          <w:color w:val="auto"/>
        </w:rPr>
      </w:pPr>
      <w:r>
        <w:rPr>
          <w:rFonts w:ascii="Times New Roman" w:cs="Times New Roman" w:eastAsia="Times New Roman" w:hAnsi="Times New Roman"/>
          <w:sz w:val="18"/>
          <w:szCs w:val="18"/>
          <w:color w:val="auto"/>
        </w:rPr>
        <w:t>control the outcome of matters submitted to our stockholders</w:t>
      </w:r>
    </w:p>
    <w:p>
      <w:pPr>
        <w:ind w:left="4740"/>
        <w:spacing w:after="0" w:line="235" w:lineRule="auto"/>
        <w:rPr>
          <w:sz w:val="20"/>
          <w:szCs w:val="20"/>
          <w:color w:val="auto"/>
        </w:rPr>
      </w:pPr>
      <w:r>
        <w:rPr>
          <w:rFonts w:ascii="Times New Roman" w:cs="Times New Roman" w:eastAsia="Times New Roman" w:hAnsi="Times New Roman"/>
          <w:sz w:val="18"/>
          <w:szCs w:val="18"/>
          <w:color w:val="auto"/>
        </w:rPr>
        <w:t>for approval, including the election of our directors and the</w:t>
      </w:r>
    </w:p>
    <w:p>
      <w:pPr>
        <w:ind w:left="4740"/>
        <w:spacing w:after="0" w:line="235" w:lineRule="auto"/>
        <w:rPr>
          <w:sz w:val="20"/>
          <w:szCs w:val="20"/>
          <w:color w:val="auto"/>
        </w:rPr>
      </w:pPr>
      <w:r>
        <w:rPr>
          <w:rFonts w:ascii="Times New Roman" w:cs="Times New Roman" w:eastAsia="Times New Roman" w:hAnsi="Times New Roman"/>
          <w:sz w:val="18"/>
          <w:szCs w:val="18"/>
          <w:color w:val="auto"/>
        </w:rPr>
        <w:t>approval of any change in control transactions. See the</w:t>
      </w:r>
    </w:p>
    <w:p>
      <w:pPr>
        <w:ind w:left="4740"/>
        <w:spacing w:after="0" w:line="234" w:lineRule="auto"/>
        <w:rPr>
          <w:sz w:val="20"/>
          <w:szCs w:val="20"/>
          <w:color w:val="auto"/>
        </w:rPr>
      </w:pPr>
      <w:r>
        <w:rPr>
          <w:rFonts w:ascii="Times New Roman" w:cs="Times New Roman" w:eastAsia="Times New Roman" w:hAnsi="Times New Roman"/>
          <w:sz w:val="18"/>
          <w:szCs w:val="18"/>
          <w:color w:val="auto"/>
        </w:rPr>
        <w:t>sections titled “Principal and Selling Stockholders” and</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“Description of Capital Stock” for additional information.</w:t>
      </w:r>
    </w:p>
    <w:p>
      <w:pPr>
        <w:spacing w:after="0" w:line="1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See the section titled “— Controlled Company Status” above</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for information regarding ownership interests and voting</w:t>
      </w:r>
    </w:p>
    <w:p>
      <w:pPr>
        <w:ind w:left="4740"/>
        <w:spacing w:after="0"/>
        <w:rPr>
          <w:sz w:val="20"/>
          <w:szCs w:val="20"/>
          <w:color w:val="auto"/>
        </w:rPr>
      </w:pPr>
      <w:r>
        <w:rPr>
          <w:rFonts w:ascii="Times New Roman" w:cs="Times New Roman" w:eastAsia="Times New Roman" w:hAnsi="Times New Roman"/>
          <w:sz w:val="18"/>
          <w:szCs w:val="18"/>
          <w:color w:val="auto"/>
        </w:rPr>
        <w:t>power of our common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The selling stockholders will receive all of the proceeds from</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sale of shares of our Class B common stock in this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offering. We will not receive any proceeds from the sale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by the selling stockholders. The selling stockholders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will not be responsible for any offering expenses.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Indication of interest</w:t>
      </w:r>
      <w:r>
        <w:rPr>
          <w:sz w:val="20"/>
          <w:szCs w:val="20"/>
          <w:color w:val="auto"/>
        </w:rPr>
        <w:tab/>
      </w:r>
      <w:r>
        <w:rPr>
          <w:rFonts w:ascii="Times New Roman" w:cs="Times New Roman" w:eastAsia="Times New Roman" w:hAnsi="Times New Roman"/>
          <w:sz w:val="18"/>
          <w:szCs w:val="18"/>
          <w:color w:val="auto"/>
        </w:rPr>
        <w:t>One or more funds affiliated with Capital Research Global</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Investors have indicated an interest in purchasing up to an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aggregate of $40 million in shares of our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being offered by the selling stockholders in this offering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 the initial public offering price. As this indication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interest is not a binding agreement or commitment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purchase, one or more funds affiliated with Capital Research</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Global Investors may determine to purchase more, fewer or no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in this offering or the underwriters may determine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sell more, fewer or no shares to one or more funds affiliated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with Capital Research Global Investors. The underwriters will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receive the same discount from any shares of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purchased by one or more funds affiliated with Capital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Research Global Investors as they will from any other shares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Class B common stock sold to the public in this offering.</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Class B common stock involves risk. See the</w:t>
      </w:r>
    </w:p>
    <w:p>
      <w:pPr>
        <w:spacing w:after="0" w:line="2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section titled “Risk Factors” in this prospectus for a discussion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the factors you should carefully consider before deciding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invest in our Class B common stock.</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NASDAQ symbol</w:t>
      </w:r>
      <w:r>
        <w:rPr>
          <w:sz w:val="20"/>
          <w:szCs w:val="20"/>
          <w:color w:val="auto"/>
        </w:rPr>
        <w:tab/>
      </w:r>
      <w:r>
        <w:rPr>
          <w:rFonts w:ascii="Times New Roman" w:cs="Times New Roman" w:eastAsia="Times New Roman" w:hAnsi="Times New Roman"/>
          <w:sz w:val="18"/>
          <w:szCs w:val="18"/>
          <w:color w:val="auto"/>
        </w:rPr>
        <w:t>“BSY”</w:t>
      </w:r>
    </w:p>
    <w:p>
      <w:pPr>
        <w:spacing w:after="0" w:line="144" w:lineRule="exact"/>
        <w:rPr>
          <w:sz w:val="20"/>
          <w:szCs w:val="20"/>
          <w:color w:val="auto"/>
        </w:rPr>
      </w:pPr>
    </w:p>
    <w:p>
      <w:pPr>
        <w:jc w:val="both"/>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is based upon 11,601,757 shares of Class A common stock and 247,607,598 shares of Class B common stock outstanding as of June 30, 2020, plus:</w:t>
      </w:r>
    </w:p>
    <w:p>
      <w:pPr>
        <w:spacing w:after="0" w:line="68" w:lineRule="exact"/>
        <w:rPr>
          <w:sz w:val="20"/>
          <w:szCs w:val="20"/>
          <w:color w:val="auto"/>
        </w:rPr>
      </w:pPr>
    </w:p>
    <w:p>
      <w:pPr>
        <w:ind w:left="1820" w:hanging="18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994,912 total shares of restricted Class B common stock and restricted stock units issued in</w:t>
      </w:r>
    </w:p>
    <w:p>
      <w:pPr>
        <w:spacing w:after="0" w:line="27" w:lineRule="exact"/>
        <w:rPr>
          <w:rFonts w:ascii="Times New Roman" w:cs="Times New Roman" w:eastAsia="Times New Roman" w:hAnsi="Times New Roman"/>
          <w:sz w:val="18"/>
          <w:szCs w:val="18"/>
          <w:color w:val="auto"/>
        </w:rPr>
      </w:pPr>
    </w:p>
    <w:p>
      <w:pPr>
        <w:ind w:left="1820" w:right="7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2020 that will vest automatically upon the consummation of this offering, reduced by 32,238 of such restricted stock units that will be settled in cash;</w:t>
      </w:r>
    </w:p>
    <w:p>
      <w:pPr>
        <w:spacing w:after="0" w:line="73" w:lineRule="exact"/>
        <w:rPr>
          <w:rFonts w:ascii="Times New Roman" w:cs="Times New Roman" w:eastAsia="Times New Roman" w:hAnsi="Times New Roman"/>
          <w:sz w:val="18"/>
          <w:szCs w:val="18"/>
          <w:color w:val="auto"/>
        </w:rPr>
      </w:pPr>
    </w:p>
    <w:p>
      <w:pPr>
        <w:ind w:left="1820" w:right="739" w:hanging="180"/>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1,025,461 shares of Class B common stock to be sold in this offering following the exercise of stock options for such shares at a weighted average exercise price of $4.46 per share of Class B common stock, after giving effect to a $1.50 reduction of the exercise price of all outstanding options as a result of the Special Dividend; and</w:t>
      </w:r>
    </w:p>
    <w:p>
      <w:pPr>
        <w:spacing w:after="0" w:line="71" w:lineRule="exact"/>
        <w:rPr>
          <w:rFonts w:ascii="Times New Roman" w:cs="Times New Roman" w:eastAsia="Times New Roman" w:hAnsi="Times New Roman"/>
          <w:sz w:val="18"/>
          <w:szCs w:val="18"/>
          <w:color w:val="auto"/>
        </w:rPr>
      </w:pPr>
    </w:p>
    <w:p>
      <w:pPr>
        <w:ind w:left="1820" w:right="999" w:hanging="180"/>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37,237 vested shares of restricted Class B common stock and restricted stock units issued in July 2020.</w:t>
      </w:r>
    </w:p>
    <w:p>
      <w:pPr>
        <w:spacing w:after="0" w:line="94"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excludes:</w:t>
      </w:r>
    </w:p>
    <w:p>
      <w:pPr>
        <w:spacing w:after="0" w:line="54" w:lineRule="exact"/>
        <w:rPr>
          <w:sz w:val="20"/>
          <w:szCs w:val="20"/>
          <w:color w:val="auto"/>
        </w:rPr>
      </w:pPr>
    </w:p>
    <w:p>
      <w:pPr>
        <w:ind w:left="1820" w:right="839" w:hanging="180"/>
        <w:spacing w:after="0" w:line="261"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13,604,723 shares of Class B common stock issuable upon exercise of stock options outstanding as of the date of this prospectus that are not being sold in this offering, at a weighted average exercise price of $4.85 per share of Class B common stock after giving effect to a $1.50 reduction of the exercise price of all outstanding options as a result of the Special Dividend;</w:t>
      </w:r>
    </w:p>
    <w:p>
      <w:pPr>
        <w:spacing w:after="0" w:line="71" w:lineRule="exact"/>
        <w:rPr>
          <w:rFonts w:ascii="Times New Roman" w:cs="Times New Roman" w:eastAsia="Times New Roman" w:hAnsi="Times New Roman"/>
          <w:sz w:val="18"/>
          <w:szCs w:val="18"/>
          <w:color w:val="auto"/>
        </w:rPr>
      </w:pPr>
    </w:p>
    <w:p>
      <w:pPr>
        <w:ind w:left="1820" w:right="1219" w:hanging="180"/>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45,151 shares of Class B common stock issuable upon the settlement of fully-vested restricted stock units outstanding as of June 30, 2020;</w:t>
      </w:r>
    </w:p>
    <w:p>
      <w:pPr>
        <w:spacing w:after="0" w:line="53" w:lineRule="exact"/>
        <w:rPr>
          <w:rFonts w:ascii="Times New Roman" w:cs="Times New Roman" w:eastAsia="Times New Roman" w:hAnsi="Times New Roman"/>
          <w:sz w:val="18"/>
          <w:szCs w:val="18"/>
          <w:color w:val="auto"/>
        </w:rPr>
      </w:pPr>
    </w:p>
    <w:p>
      <w:pPr>
        <w:ind w:left="1820" w:right="659" w:hanging="180"/>
        <w:spacing w:after="0" w:line="263"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 shares of Class B common stock issuable upon exercise of stock options outstanding as of the date of this prospectus that are not being sold in this offering and were granted in connection with an acquisition, with an exercise price of $6.81 per share and a maximum intrinsic value of $8.88 per share;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739" w:hanging="180"/>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1,311,447 shares of unvested restricted Class B common stock and restricted stock units outstanding as of the date of this prospectus that will not vest upon consummation of this offering;</w:t>
      </w:r>
    </w:p>
    <w:p>
      <w:pPr>
        <w:spacing w:after="0" w:line="53" w:lineRule="exact"/>
        <w:rPr>
          <w:rFonts w:ascii="Times New Roman" w:cs="Times New Roman" w:eastAsia="Times New Roman" w:hAnsi="Times New Roman"/>
          <w:sz w:val="18"/>
          <w:szCs w:val="18"/>
          <w:color w:val="auto"/>
        </w:rPr>
      </w:pPr>
    </w:p>
    <w:p>
      <w:pPr>
        <w:ind w:left="1820" w:right="1019" w:hanging="180"/>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27,941,520 shares of Class B common stock held by colleagues and directors as phantom shares under our nonqualified deferred compensation plans as of June 30, 2020, increased by 2,764,048 shares of Class B common stock as a result of the reinvestment of dividends since such date in accordance with such plans;</w:t>
      </w:r>
    </w:p>
    <w:p>
      <w:pPr>
        <w:spacing w:after="0" w:line="71" w:lineRule="exact"/>
        <w:rPr>
          <w:rFonts w:ascii="Times New Roman" w:cs="Times New Roman" w:eastAsia="Times New Roman" w:hAnsi="Times New Roman"/>
          <w:sz w:val="18"/>
          <w:szCs w:val="18"/>
          <w:color w:val="auto"/>
        </w:rPr>
      </w:pPr>
    </w:p>
    <w:p>
      <w:pPr>
        <w:ind w:left="1820" w:right="959" w:hanging="180"/>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2020 Incentive Award Plan (as defined herein); and</w:t>
      </w:r>
    </w:p>
    <w:p>
      <w:pPr>
        <w:spacing w:after="0" w:line="53" w:lineRule="exact"/>
        <w:rPr>
          <w:rFonts w:ascii="Times New Roman" w:cs="Times New Roman" w:eastAsia="Times New Roman" w:hAnsi="Times New Roman"/>
          <w:sz w:val="18"/>
          <w:szCs w:val="18"/>
          <w:color w:val="auto"/>
        </w:rPr>
      </w:pPr>
    </w:p>
    <w:p>
      <w:pPr>
        <w:ind w:left="1820" w:right="839" w:hanging="180"/>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Global ESPP (as defined herein).</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820" w:hanging="180"/>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820" w:right="779" w:hanging="180"/>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immediately prior to the completion of this offering, which we refer to in this prospectus as the “Charter Amendments.”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1280" w:right="67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tables set forth summary consolidated financial data. The summary consolidated statement of operations data for the years ended December 31, 2018 and 2019 have been derived from our audited consolidated financial statements included elsewhere in this prospectus. The summary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summary consolidated financial data in conjunction with the sections titled “Selected Consolidated Financial Data” and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342" w:lineRule="exact"/>
        <w:rPr>
          <w:sz w:val="20"/>
          <w:szCs w:val="20"/>
          <w:color w:val="auto"/>
        </w:rPr>
      </w:pPr>
    </w:p>
    <w:p>
      <w:pPr>
        <w:ind w:left="1280" w:right="69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summary consolidated financial data, except share and per share amounts, are presented in thousands. Additionally, many of the amounts and percentages have been rounded for convenience of presentation.</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Topic 605</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Subscriptions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501,098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557,421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613,925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608,300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290,147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327,837</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Perpetual licenses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61,661</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61,065</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52,519</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59,693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24,468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Subscriptions and licenses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562,759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618,486</w:t>
            </w:r>
          </w:p>
        </w:tc>
        <w:tc>
          <w:tcPr>
            <w:tcW w:w="2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666,444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667,993</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314,615</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351,030</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66,164</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73,224</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68,405</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68,661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32,529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628,923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691,710</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734,849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736,654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347,144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378,980</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subscriptions and</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53,662</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55,113</w:t>
            </w:r>
          </w:p>
        </w:tc>
        <w:tc>
          <w:tcPr>
            <w:tcW w:w="24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71,439</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71,578</w:t>
            </w:r>
          </w:p>
        </w:tc>
        <w:tc>
          <w:tcPr>
            <w:tcW w:w="1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30,831</w:t>
            </w:r>
          </w:p>
        </w:tc>
        <w:tc>
          <w:tcPr>
            <w:tcW w:w="120" w:type="dxa"/>
            <w:vAlign w:val="bottom"/>
          </w:tcPr>
          <w:p>
            <w:pPr>
              <w:spacing w:after="0"/>
              <w:rPr>
                <w:sz w:val="16"/>
                <w:szCs w:val="16"/>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43,128</w:t>
            </w:r>
          </w:p>
        </w:tc>
        <w:tc>
          <w:tcPr>
            <w:tcW w:w="0" w:type="dxa"/>
            <w:vAlign w:val="bottom"/>
          </w:tcPr>
          <w:p>
            <w:pPr>
              <w:spacing w:after="0"/>
              <w:rPr>
                <w:sz w:val="1"/>
                <w:szCs w:val="1"/>
                <w:color w:val="auto"/>
              </w:rPr>
            </w:pPr>
          </w:p>
        </w:tc>
      </w:tr>
      <w:tr>
        <w:trPr>
          <w:trHeight w:val="162"/>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licenses</w:t>
            </w: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services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66,928</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76,211</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72,572</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72,572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38,367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cost of revenues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120,590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131,324</w:t>
            </w: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144,011</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144,150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69,198</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73,964</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508,333</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560,386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590,838</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592,504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277,946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151,194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175,032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183,552</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183,552</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91,861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139,259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160,635</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155,274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155,294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75,168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65,727</w:t>
            </w: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87,467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89,328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97,580</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97,580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purchased</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9,014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14,000</w:t>
            </w:r>
          </w:p>
        </w:tc>
        <w:tc>
          <w:tcPr>
            <w:tcW w:w="24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14,213</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14,213</w:t>
            </w:r>
          </w:p>
        </w:tc>
        <w:tc>
          <w:tcPr>
            <w:tcW w:w="1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6,852</w:t>
            </w:r>
          </w:p>
        </w:tc>
        <w:tc>
          <w:tcPr>
            <w:tcW w:w="120" w:type="dxa"/>
            <w:vAlign w:val="bottom"/>
          </w:tcPr>
          <w:p>
            <w:pPr>
              <w:spacing w:after="0"/>
              <w:rPr>
                <w:sz w:val="16"/>
                <w:szCs w:val="16"/>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95"/>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intangibles</w:t>
            </w: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386,934</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438,995</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450,619</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450,639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220,188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121,399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121,391</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140,219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141,865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57,758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90,552</w:t>
            </w: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(10,320)</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(8,765)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(8,199)</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(4,474)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(5,773)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(5,557)</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0" w:type="dxa"/>
            <w:vAlign w:val="bottom"/>
          </w:tcPr>
          <w:p>
            <w:pPr>
              <w:spacing w:after="0"/>
              <w:rPr>
                <w:sz w:val="1"/>
                <w:szCs w:val="1"/>
                <w:color w:val="auto"/>
              </w:rPr>
            </w:pPr>
          </w:p>
        </w:tc>
      </w:tr>
      <w:tr>
        <w:trPr>
          <w:trHeight w:val="24"/>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105,306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112,862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126,463</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128,109</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51,537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46,141</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(29,250)</w:t>
            </w:r>
          </w:p>
        </w:tc>
        <w:tc>
          <w:tcPr>
            <w:tcW w:w="2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21,762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23,738</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5,119</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ind w:left="60"/>
              <w:spacing w:after="0" w:line="237" w:lineRule="exact"/>
              <w:rPr>
                <w:sz w:val="20"/>
                <w:szCs w:val="20"/>
                <w:color w:val="auto"/>
              </w:rPr>
            </w:pPr>
            <w:r>
              <w:rPr>
                <w:rFonts w:ascii="Times New Roman" w:cs="Times New Roman" w:eastAsia="Times New Roman" w:hAnsi="Times New Roman"/>
                <w:sz w:val="14"/>
                <w:szCs w:val="14"/>
                <w:b w:val="1"/>
                <w:bCs w:val="1"/>
                <w:color w:val="auto"/>
                <w:w w:val="95"/>
              </w:rPr>
              <w:t>Topic 605</w:t>
            </w:r>
            <w:r>
              <w:rPr>
                <w:rFonts w:ascii="Times New Roman" w:cs="Times New Roman" w:eastAsia="Times New Roman" w:hAnsi="Times New Roman"/>
                <w:sz w:val="21"/>
                <w:szCs w:val="21"/>
                <w:b w:val="1"/>
                <w:bCs w:val="1"/>
                <w:color w:val="auto"/>
                <w:w w:val="95"/>
                <w:vertAlign w:val="superscript"/>
              </w:rPr>
              <w:t>(1)</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0" w:type="dxa"/>
            <w:vAlign w:val="bottom"/>
          </w:tcPr>
          <w:p>
            <w:pPr>
              <w:spacing w:after="0"/>
              <w:rPr>
                <w:sz w:val="1"/>
                <w:szCs w:val="1"/>
                <w:color w:val="auto"/>
              </w:rPr>
            </w:pPr>
          </w:p>
        </w:tc>
      </w:tr>
      <w:tr>
        <w:trPr>
          <w:trHeight w:val="155"/>
        </w:trPr>
        <w:tc>
          <w:tcPr>
            <w:tcW w:w="23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Equity in loss of joint venture, net of</w:t>
            </w:r>
          </w:p>
        </w:tc>
        <w:tc>
          <w:tcPr>
            <w:tcW w:w="2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5"/>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$59,165</w:t>
            </w:r>
          </w:p>
        </w:tc>
        <w:tc>
          <w:tcPr>
            <w:tcW w:w="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142,112</w:t>
            </w:r>
          </w:p>
        </w:tc>
        <w:tc>
          <w:tcPr>
            <w:tcW w:w="8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103,426</w:t>
            </w:r>
          </w:p>
        </w:tc>
        <w:tc>
          <w:tcPr>
            <w:tcW w:w="8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103,096</w:t>
            </w:r>
          </w:p>
        </w:tc>
        <w:tc>
          <w:tcPr>
            <w:tcW w:w="8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46,418</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143"/>
        </w:trPr>
        <w:tc>
          <w:tcPr>
            <w:tcW w:w="2360" w:type="dxa"/>
            <w:vAlign w:val="bottom"/>
            <w:tcBorders>
              <w:top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Less: Net income attributable to</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participating securities</w:t>
            </w:r>
          </w:p>
        </w:tc>
        <w:tc>
          <w:tcPr>
            <w:tcW w:w="2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Net income per share attributable to</w:t>
            </w:r>
          </w:p>
        </w:tc>
        <w:tc>
          <w:tcPr>
            <w:tcW w:w="2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4"/>
                <w:szCs w:val="14"/>
                <w:color w:val="auto"/>
              </w:rPr>
              <w:t>Class A and Class B common</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142,108</w:t>
            </w: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103,418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103,088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46,406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236"/>
        </w:trPr>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0.50</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63"/>
        </w:trPr>
        <w:tc>
          <w:tcPr>
            <w:tcW w:w="194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140"/>
              <w:spacing w:after="0" w:line="155" w:lineRule="exact"/>
              <w:rPr>
                <w:sz w:val="20"/>
                <w:szCs w:val="20"/>
                <w:color w:val="auto"/>
              </w:rPr>
            </w:pPr>
            <w:r>
              <w:rPr>
                <w:rFonts w:ascii="Times New Roman" w:cs="Times New Roman" w:eastAsia="Times New Roman" w:hAnsi="Times New Roman"/>
                <w:sz w:val="14"/>
                <w:szCs w:val="14"/>
                <w:color w:val="auto"/>
              </w:rPr>
              <w:t>Weighted average shares</w:t>
            </w: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285,805,096</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284,625,642</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284,625,642</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285,529,476</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286,068,766</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outstanding, basic</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gridSpan w:val="2"/>
            <w:vMerge w:val="restart"/>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Weighted average shares</w:t>
            </w: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360" w:type="dxa"/>
            <w:vAlign w:val="bottom"/>
            <w:gridSpan w:val="2"/>
            <w:vMerge w:val="continue"/>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292,624,496</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293,796,707</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293,796,707</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293,633,255</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295,595,234</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outstanding, diluted</w:t>
            </w: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40" w:right="659" w:hanging="360"/>
        <w:spacing w:after="0" w:line="259" w:lineRule="auto"/>
        <w:tabs>
          <w:tab w:leader="none" w:pos="1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Revenue Comparison — Topic 605 versus Topic 606:</w:t>
      </w:r>
    </w:p>
    <w:p>
      <w:pPr>
        <w:spacing w:after="0" w:line="160" w:lineRule="exact"/>
        <w:rPr>
          <w:sz w:val="20"/>
          <w:szCs w:val="20"/>
          <w:color w:val="auto"/>
        </w:rPr>
      </w:pPr>
    </w:p>
    <w:p>
      <w:pPr>
        <w:ind w:left="1280" w:right="679" w:firstLine="360"/>
        <w:spacing w:after="0"/>
        <w:rPr>
          <w:sz w:val="20"/>
          <w:szCs w:val="20"/>
          <w:color w:val="auto"/>
        </w:rPr>
      </w:pPr>
      <w:r>
        <w:rPr>
          <w:rFonts w:ascii="Times New Roman" w:cs="Times New Roman" w:eastAsia="Times New Roman" w:hAnsi="Times New Roman"/>
          <w:sz w:val="18"/>
          <w:szCs w:val="18"/>
          <w:color w:val="auto"/>
        </w:rPr>
        <w:t xml:space="preserve">On January 1, 2019, we adopted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related amendments (“Topic 606”), which supersedes substantially all existing revenue recognition guidance under accounting principles generally accepted in the United States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$ 125,464 ($101,489, net of tax) as of January 1, 2019. We applied the standard only to contracts that were not completed as of the date of initial application. The comparative information in our consolidated financial statements included elsewhere in this prospectus continues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Topic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We refer to ASC 985-605 and Topic 605-25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as “Topic 605.”</w:t>
      </w:r>
    </w:p>
    <w:p>
      <w:pPr>
        <w:spacing w:after="0" w:line="295" w:lineRule="exact"/>
        <w:rPr>
          <w:sz w:val="20"/>
          <w:szCs w:val="20"/>
          <w:color w:val="auto"/>
        </w:rPr>
      </w:pPr>
    </w:p>
    <w:p>
      <w:pPr>
        <w:jc w:val="both"/>
        <w:ind w:left="1280" w:right="739" w:firstLine="360"/>
        <w:spacing w:after="0" w:line="250"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130"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5680" w:type="dxa"/>
            <w:vAlign w:val="bottom"/>
            <w:tcBorders>
              <w:right w:val="single" w:sz="8" w:color="CCEEFF"/>
            </w:tcBorders>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6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$501,098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$557,421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$613,925</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61,661</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4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628,923</w:t>
            </w:r>
          </w:p>
        </w:tc>
        <w:tc>
          <w:tcPr>
            <w:tcW w:w="920" w:type="dxa"/>
            <w:vAlign w:val="bottom"/>
            <w:gridSpan w:val="2"/>
          </w:tcPr>
          <w:p>
            <w:pPr>
              <w:jc w:val="right"/>
              <w:ind w:right="240"/>
              <w:spacing w:after="0" w:line="197"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691,710</w:t>
            </w:r>
          </w:p>
        </w:tc>
        <w:tc>
          <w:tcPr>
            <w:tcW w:w="6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734,849</w:t>
            </w:r>
          </w:p>
        </w:tc>
        <w:tc>
          <w:tcPr>
            <w:tcW w:w="0" w:type="dxa"/>
            <w:vAlign w:val="bottom"/>
          </w:tcPr>
          <w:p>
            <w:pPr>
              <w:spacing w:after="0"/>
              <w:rPr>
                <w:sz w:val="1"/>
                <w:szCs w:val="1"/>
                <w:color w:val="auto"/>
              </w:rPr>
            </w:pPr>
          </w:p>
        </w:tc>
      </w:tr>
      <w:tr>
        <w:trPr>
          <w:trHeight w:val="40"/>
        </w:trPr>
        <w:tc>
          <w:tcPr>
            <w:tcW w:w="5680" w:type="dxa"/>
            <w:vAlign w:val="bottom"/>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68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$505,720</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$560,485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$608,300</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49,983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57,353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43"/>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621,867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691,062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736,654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67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40" w:right="659" w:hanging="360"/>
        <w:spacing w:after="0" w:line="259"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54" w:lineRule="exact"/>
        <w:rPr>
          <w:rFonts w:ascii="Times New Roman" w:cs="Times New Roman" w:eastAsia="Times New Roman" w:hAnsi="Times New Roman"/>
          <w:sz w:val="18"/>
          <w:szCs w:val="18"/>
          <w:color w:val="auto"/>
        </w:rPr>
      </w:pPr>
    </w:p>
    <w:p>
      <w:pPr>
        <w:ind w:left="1640" w:right="739" w:hanging="360"/>
        <w:spacing w:after="0" w:line="257"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 Non-GAAP Financial Measures.”</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80" w:right="1059" w:firstLine="36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$521,923</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$586,466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$631,097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$606,411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6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$523,502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$582,402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$636,899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$604,043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$670,825</w:t>
            </w: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Annualized recurring revenues (“ARR”)</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growth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40" w:lineRule="exact"/>
        <w:rPr>
          <w:sz w:val="20"/>
          <w:szCs w:val="20"/>
          <w:color w:val="auto"/>
        </w:rPr>
      </w:pPr>
    </w:p>
    <w:p>
      <w:pPr>
        <w:ind w:left="1280" w:right="6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2017 and 2018, see the section titled “Selected Consolidated Financial Data — Non-GAAP Financial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Measures.”</w:t>
      </w:r>
    </w:p>
    <w:p>
      <w:pPr>
        <w:spacing w:after="0" w:line="139"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w:t>
      </w:r>
    </w:p>
    <w:p>
      <w:pPr>
        <w:sectPr>
          <w:pgSz w:w="11900" w:h="16838" w:orient="portrait"/>
          <w:cols w:equalWidth="0" w:num="1">
            <w:col w:w="10139"/>
          </w:cols>
          <w:pgMar w:left="320" w:top="114"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79"/>
        <w:spacing w:after="0" w:line="250" w:lineRule="auto"/>
        <w:rPr>
          <w:sz w:val="20"/>
          <w:szCs w:val="20"/>
          <w:color w:val="auto"/>
        </w:rPr>
      </w:pPr>
      <w:r>
        <w:rPr>
          <w:rFonts w:ascii="Times New Roman" w:cs="Times New Roman" w:eastAsia="Times New Roman" w:hAnsi="Times New Roman"/>
          <w:sz w:val="18"/>
          <w:szCs w:val="18"/>
          <w:color w:val="auto"/>
        </w:rPr>
        <w:t>revenues under Topic 606 of $5,714 due to the upfront recognition of license revenues of new subscriptions. See the section titled “Management’s Discussion and Analysis of Financial Condition and Results of Operations — Key Factors Impacting Comparability and Performance.”</w:t>
      </w:r>
    </w:p>
    <w:p>
      <w:pPr>
        <w:spacing w:after="0" w:line="96" w:lineRule="exact"/>
        <w:rPr>
          <w:sz w:val="20"/>
          <w:szCs w:val="20"/>
          <w:color w:val="auto"/>
        </w:rPr>
      </w:pPr>
    </w:p>
    <w:p>
      <w:pPr>
        <w:ind w:left="1280" w:right="679" w:firstLine="360"/>
        <w:spacing w:after="0" w:line="237"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 -month period increased by $64,543 (or $59,900 under Topic 605), $44,631 (or $ 53,497 under Topic 605), and $59,248 (or $ 66,782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116" w:lineRule="exact"/>
        <w:rPr>
          <w:sz w:val="20"/>
          <w:szCs w:val="20"/>
          <w:color w:val="auto"/>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3" w:lineRule="exact"/>
        <w:rPr>
          <w:sz w:val="20"/>
          <w:szCs w:val="20"/>
          <w:color w:val="auto"/>
        </w:rPr>
      </w:pPr>
    </w:p>
    <w:p>
      <w:pPr>
        <w:ind w:left="1280" w:right="659" w:firstLine="360"/>
        <w:spacing w:after="0"/>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 -based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286" w:lineRule="exact"/>
        <w:rPr>
          <w:sz w:val="20"/>
          <w:szCs w:val="20"/>
          <w:color w:val="auto"/>
        </w:rPr>
      </w:pPr>
    </w:p>
    <w:p>
      <w:pPr>
        <w:ind w:left="1280" w:right="799" w:firstLine="360"/>
        <w:spacing w:after="0" w:line="242"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117" w:lineRule="exact"/>
        <w:rPr>
          <w:sz w:val="20"/>
          <w:szCs w:val="20"/>
          <w:color w:val="auto"/>
        </w:rPr>
      </w:pPr>
    </w:p>
    <w:p>
      <w:pPr>
        <w:ind w:left="1280" w:right="739" w:firstLine="360"/>
        <w:spacing w:after="0" w:line="245"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111" w:lineRule="exact"/>
        <w:rPr>
          <w:sz w:val="20"/>
          <w:szCs w:val="20"/>
          <w:color w:val="auto"/>
        </w:rPr>
      </w:pPr>
    </w:p>
    <w:p>
      <w:pPr>
        <w:ind w:left="1280" w:right="819" w:firstLine="360"/>
        <w:spacing w:after="0"/>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 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53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39"/>
        <w:spacing w:after="0" w:line="261" w:lineRule="auto"/>
        <w:rPr>
          <w:sz w:val="20"/>
          <w:szCs w:val="20"/>
          <w:color w:val="auto"/>
        </w:rPr>
      </w:pPr>
      <w:r>
        <w:rPr>
          <w:rFonts w:ascii="Times New Roman" w:cs="Times New Roman" w:eastAsia="Times New Roman" w:hAnsi="Times New Roman"/>
          <w:sz w:val="18"/>
          <w:szCs w:val="18"/>
          <w:color w:val="auto"/>
        </w:rPr>
        <w:t>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97" w:lineRule="exact"/>
        <w:rPr>
          <w:sz w:val="20"/>
          <w:szCs w:val="20"/>
          <w:color w:val="auto"/>
        </w:rPr>
      </w:pPr>
    </w:p>
    <w:p>
      <w:pPr>
        <w:ind w:left="1280" w:right="7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accounts with recurring revenue in the prior period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348" w:lineRule="exact"/>
        <w:rPr>
          <w:sz w:val="20"/>
          <w:szCs w:val="20"/>
          <w:color w:val="auto"/>
        </w:rPr>
      </w:pPr>
    </w:p>
    <w:p>
      <w:pPr>
        <w:ind w:left="1280" w:right="779" w:firstLine="360"/>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21" w:lineRule="exact"/>
        <w:rPr>
          <w:sz w:val="20"/>
          <w:szCs w:val="20"/>
          <w:color w:val="auto"/>
        </w:rPr>
      </w:pPr>
    </w:p>
    <w:p>
      <w:pPr>
        <w:ind w:left="1280" w:right="1239" w:firstLine="360"/>
        <w:spacing w:after="0" w:line="282"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81" w:lineRule="exact"/>
        <w:rPr>
          <w:sz w:val="20"/>
          <w:szCs w:val="20"/>
          <w:color w:val="auto"/>
        </w:rPr>
      </w:pPr>
    </w:p>
    <w:p>
      <w:pPr>
        <w:jc w:val="both"/>
        <w:ind w:left="1280" w:right="127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sections titled “Selected Consolidated Financial Data — Key Business Metrics” and “Management’s Discussion and Analysis of Financial Condition and Results of Operations — Key Business Metrics.”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80" w:right="759" w:firstLine="360"/>
        <w:spacing w:after="0" w:line="26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39"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3"/>
        </w:trPr>
        <w:tc>
          <w:tcPr>
            <w:tcW w:w="5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56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56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$160,886</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$171,768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$186,598</w:t>
            </w:r>
          </w:p>
        </w:tc>
      </w:tr>
      <w:tr>
        <w:trPr>
          <w:trHeight w:val="25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$115,389</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$132,246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$135,471</w:t>
            </w:r>
          </w:p>
        </w:tc>
      </w:tr>
      <w:tr>
        <w:trPr>
          <w:trHeight w:val="270"/>
        </w:trPr>
        <w:tc>
          <w:tcPr>
            <w:tcW w:w="56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$153,830</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$171,120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$109,398</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$131,697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373" w:lineRule="exact"/>
        <w:rPr>
          <w:sz w:val="20"/>
          <w:szCs w:val="20"/>
          <w:color w:val="auto"/>
        </w:rPr>
      </w:pPr>
    </w:p>
    <w:p>
      <w:pPr>
        <w:ind w:left="1640" w:right="859" w:hanging="360"/>
        <w:spacing w:after="0" w:line="282"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40" w:right="679"/>
        <w:spacing w:after="0" w:line="266" w:lineRule="auto"/>
        <w:rPr>
          <w:sz w:val="20"/>
          <w:szCs w:val="20"/>
          <w:color w:val="auto"/>
        </w:rPr>
      </w:pPr>
      <w:r>
        <w:rPr>
          <w:rFonts w:ascii="Times New Roman" w:cs="Times New Roman" w:eastAsia="Times New Roman" w:hAnsi="Times New Roman"/>
          <w:sz w:val="18"/>
          <w:szCs w:val="18"/>
          <w:color w:val="auto"/>
        </w:rPr>
        <w:t>of the impact of adopting Topic 606 on our audited consolidated financial statements for the year ended December 31, 2019, see Note 2 to our consolidated financial statements included elsewhere in this prospectus.</w:t>
      </w:r>
    </w:p>
    <w:p>
      <w:pPr>
        <w:spacing w:after="0" w:line="27" w:lineRule="exact"/>
        <w:rPr>
          <w:sz w:val="20"/>
          <w:szCs w:val="20"/>
          <w:color w:val="auto"/>
        </w:rPr>
      </w:pPr>
    </w:p>
    <w:p>
      <w:pPr>
        <w:ind w:left="1640" w:right="739" w:hanging="360"/>
        <w:spacing w:after="0" w:line="257" w:lineRule="auto"/>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 Non-GAAP Financial Measures.”</w:t>
      </w:r>
    </w:p>
    <w:p>
      <w:pPr>
        <w:spacing w:after="0" w:line="343"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5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7"/>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130" w:lineRule="exact"/>
        <w:rPr>
          <w:sz w:val="20"/>
          <w:szCs w:val="20"/>
          <w:color w:val="auto"/>
        </w:rPr>
      </w:pPr>
    </w:p>
    <w:p>
      <w:pPr>
        <w:ind w:left="128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June 30, 2020 on:</w:t>
      </w:r>
    </w:p>
    <w:p>
      <w:pPr>
        <w:spacing w:after="0" w:line="117" w:lineRule="exact"/>
        <w:rPr>
          <w:sz w:val="20"/>
          <w:szCs w:val="20"/>
          <w:color w:val="auto"/>
        </w:rPr>
      </w:pPr>
    </w:p>
    <w:p>
      <w:pPr>
        <w:ind w:left="1820" w:hanging="180"/>
        <w:spacing w:after="0"/>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17" w:lineRule="exact"/>
        <w:rPr>
          <w:rFonts w:ascii="Times New Roman" w:cs="Times New Roman" w:eastAsia="Times New Roman" w:hAnsi="Times New Roman"/>
          <w:sz w:val="18"/>
          <w:szCs w:val="18"/>
          <w:color w:val="auto"/>
        </w:rPr>
      </w:pPr>
    </w:p>
    <w:p>
      <w:pPr>
        <w:ind w:left="1820" w:right="799" w:hanging="180"/>
        <w:spacing w:after="0" w:line="261"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820" w:right="839" w:hanging="180"/>
        <w:spacing w:after="0" w:line="261"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Special Dividend and the funding of such Special Dividend as described in the immediately preceding bullet and to further (i) give effect to</w:t>
      </w:r>
    </w:p>
    <w:p>
      <w:pPr>
        <w:ind w:left="1820" w:right="6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994,912 total shares of restricted Class B common stock and restricted stock units issued in July 2020 that will vest automatically upon the consummation of this offering, reduced by 32,238 of such restricted stock units that will be settled in cash, (B) approximately $11.7 million in additional stock-based compensation expense, net of tax, in connection with such July 2020 grant (excluding restricted stock units that will settle in cash), (C) 1,025,461 shares of Class B common stock to be sold in this offering following the exercise of stock options for such shares, at a weighted average exercise price of $4.46 per share, after giving effect to a $1.50 reduction of the exercise price of all outstanding options as a result of the Special Dividend, as if such exercise had occurred on June 30, 2020 and (D) approximately $0.5 million in additional stock-based compensation expense, net of tax, in connection with 37,237 vested shares of restricted Class B common stock and restricted stock units issued in July 2020, (ii) reflect expenses of $19.5 million, net of tax, in connection with this offering by the Company, including those paid on behalf of the selling stockholders and the underwriting discounts and commissions based on an assumed initial public offering price of the Class B common stock of $20.00 per share, the midpoint of the range set forth on the cover page of this prospectus,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526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52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125,516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125,516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111,293</w:t>
            </w:r>
          </w:p>
        </w:tc>
        <w:tc>
          <w:tcPr>
            <w:tcW w:w="60" w:type="dxa"/>
            <w:vAlign w:val="bottom"/>
          </w:tcPr>
          <w:p>
            <w:pPr>
              <w:spacing w:after="0"/>
              <w:rPr>
                <w:sz w:val="22"/>
                <w:szCs w:val="22"/>
                <w:color w:val="auto"/>
              </w:rPr>
            </w:pP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104,275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91,436</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1,059,169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1,059,169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1,043,937</w:t>
            </w:r>
          </w:p>
        </w:tc>
        <w:tc>
          <w:tcPr>
            <w:tcW w:w="60" w:type="dxa"/>
            <w:vAlign w:val="bottom"/>
          </w:tcPr>
          <w:p>
            <w:pPr>
              <w:spacing w:after="0"/>
              <w:rPr>
                <w:sz w:val="22"/>
                <w:szCs w:val="22"/>
                <w:color w:val="auto"/>
              </w:rPr>
            </w:pP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186,456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186,456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186,456</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596,583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598,075</w:t>
            </w:r>
          </w:p>
        </w:tc>
        <w:tc>
          <w:tcPr>
            <w:tcW w:w="60" w:type="dxa"/>
            <w:vAlign w:val="bottom"/>
          </w:tcPr>
          <w:p>
            <w:pPr>
              <w:spacing w:after="0"/>
              <w:rPr>
                <w:sz w:val="22"/>
                <w:szCs w:val="22"/>
                <w:color w:val="auto"/>
              </w:rPr>
            </w:pPr>
          </w:p>
        </w:tc>
      </w:tr>
      <w:tr>
        <w:trPr>
          <w:trHeight w:val="35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r>
              <w:rPr>
                <w:rFonts w:ascii="Times New Roman" w:cs="Times New Roman" w:eastAsia="Times New Roman" w:hAnsi="Times New Roman"/>
                <w:sz w:val="26"/>
                <w:szCs w:val="26"/>
                <w:b w:val="1"/>
                <w:bCs w:val="1"/>
                <w:color w:val="auto"/>
                <w:vertAlign w:val="superscript"/>
              </w:rPr>
              <w:t>(1)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379,744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(24,594)</w:t>
            </w:r>
          </w:p>
        </w:tc>
      </w:tr>
    </w:tbl>
    <w:p>
      <w:pPr>
        <w:spacing w:after="0" w:line="284" w:lineRule="exact"/>
        <w:rPr>
          <w:sz w:val="20"/>
          <w:szCs w:val="20"/>
          <w:color w:val="auto"/>
        </w:rPr>
      </w:pPr>
    </w:p>
    <w:p>
      <w:pPr>
        <w:ind w:left="1640" w:right="699" w:hanging="360"/>
        <w:spacing w:after="0" w:line="261" w:lineRule="auto"/>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amount does not include $645 of stock-based compensation expense for 32,238 restricted stock units that will vest automatically upon the consummation of this offering and be settled in cash at the initial public offering price (using an assumed initial public offering price of $20.00 per share, the midpoint of the range set forth on the cover page of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Investing in our Class B common stock involves a high degree of risk. You should carefully consider the risks and uncertainties described below, together with all of the other information in this prospectus, including the consolidated financial statements and the related notes and the section titled “Management’s Discussion and Analysis of Financial Condition and Results of Operations,” before deciding whether to invest in shares of our Class B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 risks and uncertainties that are not yet identified or that we currently think are immaterial, actually occur, our business, financial condition, results of operations and future prospects could be materially and adversely affected. In that event, the market price of our Class B common stock could decline, and you could lose part or all of your investment.</w:t>
      </w: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sales are based significantly on accounts’ demand for software solutions in the following infrastructure sectors: (i) public works/utilities; (ii) industrial/resources; and (iii)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293"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379" w:lineRule="exact"/>
        <w:rPr>
          <w:sz w:val="20"/>
          <w:szCs w:val="20"/>
          <w:color w:val="auto"/>
        </w:rPr>
      </w:pPr>
    </w:p>
    <w:p>
      <w:pPr>
        <w:jc w:val="both"/>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95"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Approximately 60%, 58% and 58% of our total revenues were from outside the United States in the years ended December 31, 2018 and 2019, and six months ended June 30, 2020, respectively. We anticipate that revenues from accounts outside the United States will continue to comprise a majority of our total revenues for the foreseeable future.</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United States are subject to certain legal, regulatory, social, political, economic and other risks inherent in international business operations, including, without limitation:</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 and product requirements;</w:t>
      </w:r>
    </w:p>
    <w:p>
      <w:pPr>
        <w:spacing w:after="0" w:line="11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demand dynamics, which may make the products and services we offer less successful compared to the United States;</w:t>
      </w:r>
    </w:p>
    <w:p>
      <w:pPr>
        <w:spacing w:after="0" w:line="67"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access to, or use of, commercial and personal information, such as the European Union’s General Data Protection Regulation (the “GDPR”), and the Cybersecurity Law of the People’s Republic of China;</w:t>
      </w:r>
    </w:p>
    <w:p>
      <w:pPr>
        <w:spacing w:after="0" w:line="67" w:lineRule="exact"/>
        <w:rPr>
          <w:rFonts w:ascii="Times New Roman" w:cs="Times New Roman" w:eastAsia="Times New Roman" w:hAnsi="Times New Roman"/>
          <w:sz w:val="18"/>
          <w:szCs w:val="18"/>
          <w:color w:val="auto"/>
        </w:rPr>
      </w:pPr>
    </w:p>
    <w:p>
      <w:pPr>
        <w:ind w:left="1800" w:right="879" w:hanging="178"/>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that account data be stored and processed in a designated territory or that certain transfers of account data outside of the country be notified to or registered with regulatory authorities;</w:t>
      </w:r>
    </w:p>
    <w:p>
      <w:pPr>
        <w:spacing w:after="0" w:line="81" w:lineRule="exact"/>
        <w:rPr>
          <w:rFonts w:ascii="Times New Roman" w:cs="Times New Roman" w:eastAsia="Times New Roman" w:hAnsi="Times New Roman"/>
          <w:sz w:val="18"/>
          <w:szCs w:val="18"/>
          <w:color w:val="auto"/>
        </w:rPr>
      </w:pPr>
    </w:p>
    <w:p>
      <w:pPr>
        <w:ind w:left="1800" w:right="149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understand the local market and may operate more effectively;</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sanctions, quotas, embargoes, import and export licensing requirements, duties, tariffs or surcharges;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regulatory requirements and tax laws;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regulatory requirements;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non-U.S. operations;</w:t>
      </w:r>
    </w:p>
    <w:p>
      <w:pPr>
        <w:spacing w:after="0" w:line="130" w:lineRule="exact"/>
        <w:rPr>
          <w:rFonts w:ascii="Times New Roman" w:cs="Times New Roman" w:eastAsia="Times New Roman" w:hAnsi="Times New Roman"/>
          <w:sz w:val="18"/>
          <w:szCs w:val="18"/>
          <w:color w:val="auto"/>
        </w:rPr>
      </w:pPr>
    </w:p>
    <w:p>
      <w:pPr>
        <w:ind w:left="1800" w:right="69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where labor laws may be more advantageous to colleagues as compared to the United States, as well as increased labor costs;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currency controls and inflation, recession or interest rate fluctuations;</w:t>
      </w:r>
    </w:p>
    <w:p>
      <w:pPr>
        <w:spacing w:after="0" w:line="6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United States and greater difficulty of collecting receivables in certain foreign jurisdictions;</w:t>
      </w:r>
    </w:p>
    <w:p>
      <w:pPr>
        <w:spacing w:after="0" w:line="6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or actual violations of anti-bribery and anti-corruption laws, rules and regulations in the foreign jurisdictions in which we do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of critical technology, software and services;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tax and cash management issues;</w:t>
      </w:r>
    </w:p>
    <w:p>
      <w:pPr>
        <w:spacing w:after="0" w:line="130"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restrictions on the repatriation of earnings and changes in tax rates;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and accounts receivable payment cycles in some countries;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security concerns in general;</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pandemics, including the ongoing COVID-19 pandemic;</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or varied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jc w:val="both"/>
        <w:ind w:left="1800" w:right="899" w:hanging="178"/>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solutions to accounts from different cultures, which may require us to adapt to sales practices, modify our solutions or products, and provide features necessary to effectively serve the local market.</w:t>
      </w:r>
    </w:p>
    <w:p>
      <w:pPr>
        <w:spacing w:after="0" w:line="108" w:lineRule="exact"/>
        <w:rPr>
          <w:sz w:val="20"/>
          <w:szCs w:val="20"/>
          <w:color w:val="auto"/>
        </w:rPr>
      </w:pPr>
    </w:p>
    <w:p>
      <w:pPr>
        <w:ind w:left="1260" w:right="1159" w:firstLine="360"/>
        <w:spacing w:after="0" w:line="258" w:lineRule="auto"/>
        <w:rPr>
          <w:sz w:val="20"/>
          <w:szCs w:val="20"/>
          <w:color w:val="auto"/>
        </w:rPr>
      </w:pPr>
      <w:r>
        <w:rPr>
          <w:rFonts w:ascii="Times New Roman" w:cs="Times New Roman" w:eastAsia="Times New Roman" w:hAnsi="Times New Roman"/>
          <w:sz w:val="18"/>
          <w:szCs w:val="18"/>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95"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United States, particularly from China. The imposition of additional tariffs by the United States could result in the adoption of tariffs by other countries, leading to a global trade war. In addition, certain of these risks may be heightened as a result of changing political climates, which may also be exacerbated as a result of the COVID-19 pandemic. For example, throughout 2018 and 2019, the United States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22"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addition, increases in the extent to which global trade is limited by tariffs or other trade barriers could negatively affect decisions to invest in infrastructure projects due to decreasing confidence in future profitability of such projects. Such resulting decreases in infrastructure spending could negatively affect demand for our software solutions, which could harm our business, financial condition, and results of operations.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conditions may negatively impact our business, financial condition, and results of operations.</w:t>
      </w:r>
    </w:p>
    <w:p>
      <w:pPr>
        <w:spacing w:after="0" w:line="173"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cash flows, business, financial condition and results of operations.</w:t>
      </w:r>
    </w:p>
    <w:p>
      <w:pPr>
        <w:spacing w:after="0" w:line="105"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the upcoming 2020 United States presidential election and trade relations between the United States in China, in any of the countries in which we do business could harm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Decreased investment by APAC, including China, may have a negative effect on our business.</w:t>
      </w:r>
    </w:p>
    <w:p>
      <w:pPr>
        <w:spacing w:after="0" w:line="162"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Approximately 19%, 20% and 19% of our revenues in the years ended December 31, 2018 and 2019 and six months ended June 30, 2020, respectively, relate to infrastructure projects in APAC, including China. We cannot assure you that spending in these countries on infrastructure projects will continue at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historical levels or increase in the future, or that demand for our software solutions in APAC in general will not be negatively affected by reductions in spending or other limitations.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ongoing global coronavirus outbreak could materially and adversely affect our business</w:t>
      </w:r>
    </w:p>
    <w:p>
      <w:pPr>
        <w:spacing w:after="0" w:line="148" w:lineRule="exact"/>
        <w:rPr>
          <w:sz w:val="20"/>
          <w:szCs w:val="20"/>
          <w:color w:val="auto"/>
        </w:rPr>
      </w:pPr>
    </w:p>
    <w:p>
      <w:pPr>
        <w:ind w:left="1260" w:right="699" w:firstLine="360"/>
        <w:spacing w:after="0" w:line="236"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 The COVID-19 pandemic has adversely affected global economies, financial markets and the overall environment in which we do business, and the extent to which it may impact our future results of operations and overall financial performance remains uncertain. Our accounts’ usage of our solutions slightly declined during the months of March and April when compared to levels from the same periods in 2019, and our revenue growth has also been modestly impacted, primarily due to lower growth of our non-recurring solutions including perpetual licenses and professional services engagements due to the COVID-19 pandemic. The duration and extent of the impact from the COVID-19 pandemic depends on future developments that cannot be accurately predicted at this time, such as the severity and transmission rate of the virus, the extent and effectiveness of containment actions and the impact of these and other factors on our colleagues, accounts, suppliers and partners. The COVID -19 pandemic may continue to materially affect the economies and financial markets in impacted countries and countries in which we operate, causing continued economic downturn that could decrease spending on infrastructure projects and adversely affect demand for our software solutions. Such impact on our business, operating results, cash flows and/or financial condition could be material. The COVID-19 pandemic may also have the effect of heightening other risks disclosed in these Risk Factors, such as, but not limited to, those related to supply chain interruptions and labor availability and cost.</w:t>
      </w:r>
    </w:p>
    <w:p>
      <w:pPr>
        <w:spacing w:after="0" w:line="192"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sales cycle for some of our solutions can be long and unpredictable and requires considerable time and expense, which may cause our results of operations to fluctuate.</w:t>
      </w:r>
    </w:p>
    <w:p>
      <w:pPr>
        <w:spacing w:after="0" w:line="9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sales cycle for some of our solutions, from initial contact with a potential lead to contract execution and implementation, varies widely by brand and account, and can be lengthy. Some of our accounts undertake a significant evaluation process that frequently involves not only our solution, but also solutions of our competitors, which may result in extended sales cycles. Our sales efforts involve educating our accounts and prospective accounts about the use, technical capabilities and benefits of our solutions. We also put a significant amount of time into discussing with our accounts the value and importance of migrating to the latest versions of our software solutions. We have no assurance that the substantial time and money spent on our sales efforts will increase sales or cause existing accounts to migrate to the latest versions of our software solutions. Furthermore, our sales and marketing efforts in a given period may only result in sales in subsequent periods, or not at all. If we do not realize sales in the time period expected or at all, our business, financial condition, and results of operations could be adversely affected.</w:t>
      </w:r>
    </w:p>
    <w:p>
      <w:pPr>
        <w:spacing w:after="0" w:line="188"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technological changes, and effectively market our new product solutions, our solutions may become less competitive and our business may suffer.</w:t>
      </w:r>
    </w:p>
    <w:p>
      <w:pPr>
        <w:spacing w:after="0" w:line="9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operate in an industry generally characterized by rapidly changing technology and frequent new software introductions, which can render existing software obsolete or unmarketable. A major factor in our future success will be our ability to anticipate technological changes and to develop and introduce, in a timely manner, enhancements to our existing software solutions, new software solutions and software solutions acquired in acquisitions to meet those changes. In particular, the software industry has undergone a transition from developing and selling perpetual licenses and on-premises products to cloud, mobile, and social applications. If we are unable to adapt our software solutions to the changing needs of our accounts and infrastructure engineers and to respond quickly to sector changes, our business, financial condition, results of operations, and cash flows could be harmed.</w:t>
      </w:r>
    </w:p>
    <w:p>
      <w:pPr>
        <w:spacing w:after="0" w:line="107"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color w:val="auto"/>
        </w:rPr>
        <w:t>The introduction and marketing of new or enhanced software solutions require us to manage the transition from existing software to minimize disruption in account use and purchasing patterns. There can be no assurance that we will be successful in developing and marketing, on a timely basis, new software or enhancements, that our new software solutions will adequately address the changing needs of the marketplace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or that we will successfully manage the transition from existing software solutions. In addition, our future software solutions may require a higher level of sales and support expertise. Any inability of our sales team, including our channel partners, to obtain this expertise and to sell the new software offerings effectively could have an adverse impact on our sales in future periods. Any of these problems may result in the loss of or delay in account acceptance, decreased demand for or usage of our software solutions, damage to our reputation, or increased service and warranty costs, any of which could harm our business, financial condition, results of operations, and cash flows.</w:t>
      </w:r>
    </w:p>
    <w:p>
      <w:pPr>
        <w:spacing w:after="0" w:line="10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We must act quickly, continuously, and with vision, given the rapidly changing expectations and technology advancements inherent in the software industry, the extensive and complex efforts required to create useful and widely accepted products and the rapid evolution of cloud computing, mobile devices, new computing platforms, and other technologies. Although we have articulated a strategy that we believe will fulfill these challenges, if we fail to execute properly on that strategy or adapt that strategy as market conditions evolve, we may fail to meet our accounts’ expectations, fail to compete with our competitors’ products and technology, and lose the confidence of our channel partners and colleagues, which in turn could adversely affect our business and financial performance.</w:t>
      </w:r>
    </w:p>
    <w:p>
      <w:pPr>
        <w:spacing w:after="0" w:line="183" w:lineRule="exact"/>
        <w:rPr>
          <w:sz w:val="20"/>
          <w:szCs w:val="20"/>
          <w:color w:val="auto"/>
        </w:rPr>
      </w:pPr>
    </w:p>
    <w:p>
      <w:pPr>
        <w:jc w:val="both"/>
        <w:ind w:left="1260" w:right="8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10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significant portion of our software development personnel, source code, and computer equipment is located at operating facilities outside the United States. We also depend on data maintained on servers running third-party enterprise resource planning, account relationship management, and other business operations systems. We further rely upon a variety of Internet service providers, third-party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343" w:lineRule="exact"/>
        <w:rPr>
          <w:sz w:val="20"/>
          <w:szCs w:val="20"/>
          <w:color w:val="auto"/>
        </w:rPr>
      </w:pPr>
    </w:p>
    <w:p>
      <w:pPr>
        <w:jc w:val="both"/>
        <w:ind w:left="1260" w:right="7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113"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As we digitize and use cloud and web-based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10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1" w:lineRule="auto"/>
        <w:rPr>
          <w:sz w:val="20"/>
          <w:szCs w:val="20"/>
          <w:color w:val="auto"/>
        </w:rPr>
      </w:pPr>
      <w:r>
        <w:rPr>
          <w:rFonts w:ascii="Times New Roman" w:cs="Times New Roman" w:eastAsia="Times New Roman" w:hAnsi="Times New Roman"/>
          <w:sz w:val="18"/>
          <w:szCs w:val="18"/>
          <w:color w:val="auto"/>
        </w:rPr>
        <w:t>could attack our accounts’ data (including their employees’ personal data), our data (including colleagues’ personal data) or our IT systems. It is virtually impossible for us to entirely eliminate this risk. Like all software, our software is vulnerable to cyber attacks. The impact of cyber 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103"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80"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sell our solutions in 172 countries, primarily through a direct sales force located throughout the world. Approximately 60%, 58% and 58% of our total revenues were from outside the United States in the years ended December 31, 2018 and 2019, and six months ended June 30, 2020, respectively. As we continue to expand our presence in international regions, the portion of our revenue, expenses, cash, accounts receivable and payment obligations denominated in foreign currencies continues to increase. Further, we anticipate that revenues from accounts outside of the United States will continue to comprise the majority of our total revenues for the foreseeable future.</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Because of our international activities, we have revenue, expenses, cash, accounts receivable and payment obligations denominated in foreign currencies. In the years ended December 31, 2018 and 2019, and the six months ended June 30, 2020, 49%, 47% and 44%,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Australian Dollar, Canadian Dollar, and Chinese Yuan Renminbi. For example, the Chinese Yuan Renminbi has fluctuated against the U.S. Dollar, at times significantly and unpredictably, due to changes in foreign exchange for a wide variety of reasons, including actions instituted by China. Because of changes in trade between the United States and China and Renminbi internationalization, the China may in the future announce further changes to the exchange rate system, and we cannot assure you that the Renminbi will not appreciate or depreciate significantly in value against the U.S. Dollar in the future.</w:t>
      </w:r>
    </w:p>
    <w:p>
      <w:pPr>
        <w:spacing w:after="0" w:line="270" w:lineRule="exact"/>
        <w:rPr>
          <w:sz w:val="20"/>
          <w:szCs w:val="20"/>
          <w:color w:val="auto"/>
        </w:rPr>
      </w:pPr>
    </w:p>
    <w:p>
      <w:pPr>
        <w:ind w:left="1260" w:right="1159" w:firstLine="360"/>
        <w:spacing w:after="0" w:line="245" w:lineRule="auto"/>
        <w:rPr>
          <w:sz w:val="20"/>
          <w:szCs w:val="20"/>
          <w:color w:val="auto"/>
        </w:rPr>
      </w:pPr>
      <w:r>
        <w:rPr>
          <w:rFonts w:ascii="Times New Roman" w:cs="Times New Roman" w:eastAsia="Times New Roman" w:hAnsi="Times New Roman"/>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13" w:lineRule="exact"/>
        <w:rPr>
          <w:sz w:val="20"/>
          <w:szCs w:val="20"/>
          <w:color w:val="auto"/>
        </w:rPr>
      </w:pPr>
    </w:p>
    <w:p>
      <w:pPr>
        <w:ind w:left="1260" w:right="1099" w:firstLine="360"/>
        <w:spacing w:after="0" w:line="245" w:lineRule="auto"/>
        <w:rPr>
          <w:sz w:val="20"/>
          <w:szCs w:val="20"/>
          <w:color w:val="auto"/>
        </w:rPr>
      </w:pPr>
      <w:r>
        <w:rPr>
          <w:rFonts w:ascii="Times New Roman" w:cs="Times New Roman" w:eastAsia="Times New Roman" w:hAnsi="Times New Roman"/>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We continue to experience competition across all markets for our software solutions and services. Our competitors include large, global, publicly -traded companies, small, specialty or geographically-focused firms and organizations who develop their own solutions internally. Some of our current and possible future competitors have greater financial, technical, sales, marketing and other resources than us, some specialize in developing niche software solutions and some have well-established relationships with our current and</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2" w:lineRule="auto"/>
        <w:rPr>
          <w:sz w:val="20"/>
          <w:szCs w:val="20"/>
          <w:color w:val="auto"/>
        </w:rPr>
      </w:pPr>
      <w:r>
        <w:rPr>
          <w:rFonts w:ascii="Times New Roman" w:cs="Times New Roman" w:eastAsia="Times New Roman" w:hAnsi="Times New Roman"/>
          <w:sz w:val="18"/>
          <w:szCs w:val="18"/>
          <w:color w:val="auto"/>
        </w:rPr>
        <w:t>potential accounts. There is no assurance that we will be able to continue to compete effectively. Parties among our current or future strategic alliances may diminish or sever technical, software development and marketing relationships with us for competitive purposes. These competitive pressures may result in decreased sales volumes, price reductions, and/or increased operating costs, and could result in lower revenues, margins, and net income.</w:t>
      </w:r>
    </w:p>
    <w:p>
      <w:pPr>
        <w:spacing w:after="0" w:line="181" w:lineRule="exact"/>
        <w:rPr>
          <w:sz w:val="20"/>
          <w:szCs w:val="20"/>
          <w:color w:val="auto"/>
        </w:rPr>
      </w:pPr>
    </w:p>
    <w:p>
      <w:pPr>
        <w:ind w:left="1260" w:right="7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increase the number of new subscription-based accounts or cause existing accounts to renew their subscriptions, which could have a negative impact on our future revenues and results of operations.</w:t>
      </w:r>
    </w:p>
    <w:p>
      <w:pPr>
        <w:spacing w:after="0" w:line="5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may not be able to increase demand for our subscription-based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spacing w:after="0" w:line="383" w:lineRule="exact"/>
        <w:rPr>
          <w:sz w:val="20"/>
          <w:szCs w:val="20"/>
          <w:color w:val="auto"/>
        </w:rPr>
      </w:pPr>
    </w:p>
    <w:p>
      <w:pPr>
        <w:ind w:left="12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revenue recognition policy and other factors may create volatility in our financial results in any given period and make them difficult to predict.</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described in Note 3 to our consolidated financial statements for the years ended December 31, 2018 and 2019 included elsewhere in this prospectus, we adopted ASC 606 effective January 1, 2019. The new revenue guidance significantly impacts our timing of subscriptions and perpetual licenses revenue. Under previous revenue guidance, we historically maintained stable recurring revenue from the sale of software subscriptions and perpetual licenses. Under ASC 606, perpetual licenses and the license component of applicable subscriptions are recognized up front. The maintenance portion of subscription contracts continues to be recognized over the contract term.</w:t>
      </w:r>
    </w:p>
    <w:p>
      <w:pPr>
        <w:spacing w:after="0" w:line="11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adoption of the new revenue recognition guidance creates the likelihood for subscriptions and licenses revenue volatility to increase across quarterly periods, particularly as compared to our results under the previous revenue recognition standard. Annual and trailing twelve- months subscription revenues will be more consistent between periods, and as compared to our results under the previous revenue recognition standard, due to the annual, recurring nature of our subscription agreements. However, annual results are still subject to volatility due to the timing of renewals between periods, timing of new sales contracts, changes in contract term and length, changes in perpetual license sales, and conversion of existing subscription users to other commercial offerings, particularly consumption-based offerings with consumption measurement durations of less than one year.</w:t>
      </w:r>
    </w:p>
    <w:p>
      <w:pPr>
        <w:spacing w:after="0" w:line="379" w:lineRule="exact"/>
        <w:rPr>
          <w:sz w:val="20"/>
          <w:szCs w:val="20"/>
          <w:color w:val="auto"/>
        </w:rPr>
      </w:pPr>
    </w:p>
    <w:p>
      <w:pPr>
        <w:ind w:left="1260" w:right="8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of operations have fluctuated in the past and may fluctuate in the future, which could cause the price of our Class B common stock to decline or become volatile. These potential fluctuations can make our future results difficult to predict and cause our results of operations to fall below analyst or investor expectations.</w:t>
      </w:r>
    </w:p>
    <w:p>
      <w:pPr>
        <w:spacing w:after="0" w:line="76"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color w:val="auto"/>
        </w:rPr>
        <w:t>Our quarterly results of operations have fluctuated in the past and may fluctuate in the future as a result of a variety of factors, many of which are outside of our control. If our quarterly results of operations or guidance fall below the expectations of research analysts or investors, the price of our Class B common stock could decline substantially. The following factors, among others, could cause fluctuations in our quarterly results of operations:</w:t>
      </w:r>
    </w:p>
    <w:p>
      <w:pPr>
        <w:spacing w:after="0" w:line="295" w:lineRule="exact"/>
        <w:rPr>
          <w:sz w:val="20"/>
          <w:szCs w:val="20"/>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selling our subscription and services offerings;</w:t>
      </w:r>
    </w:p>
    <w:p>
      <w:pPr>
        <w:spacing w:after="0" w:line="11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accounts and retain existing accounts, including in connection with consolidation activities among, or management changes at, our accounts;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revenues and appropriately plan our expenses;</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including ensuring inter-operational ability with our existing solutions and with third-party software and devices;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15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receiving milestone payments in respect of the projects for which our software is providing solutions;</w:t>
      </w:r>
    </w:p>
    <w:p>
      <w:pPr>
        <w:spacing w:after="0" w:line="40"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consolidation within the industry, pricing changes or the introduction of new solutions;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any future acquisitions of businesses, solutions or technologies;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developing or acquiring technologies or businesses;</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operating costs and capital expenditures related to the operation, maintenance and expansion of our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or security breaches and any related occurrences that could impact our reputation;</w:t>
      </w:r>
    </w:p>
    <w:p>
      <w:pPr>
        <w:spacing w:after="0" w:line="103"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industry and market conditions, including disruptions in financial markets and the deterioration of the underlying economic conditions in some countries;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and other claims.</w:t>
      </w:r>
    </w:p>
    <w:p>
      <w:pPr>
        <w:spacing w:after="0" w:line="158"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Our quarterly revenues and results of operations may vary in the future, and period- to-period comparisons of our results of operations may not be meaningful. Any one or more of the factors above may result in significant fluctuations in our quarterly results of operations. You should not rely on the results of one quarter as an indication of future performance.</w:t>
      </w:r>
    </w:p>
    <w:p>
      <w:pPr>
        <w:spacing w:after="0" w:line="100"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analysts that cover us or investors with respect to revenues or other key metrics for a particular period. If we fail to meet or exceed such expectations for these or any other reasons, the market price of our Class B common stock could fall, and we could face costly lawsuits, including securities class action suits.</w:t>
      </w:r>
    </w:p>
    <w:p>
      <w:pPr>
        <w:spacing w:after="0" w:line="181"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29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116"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steps we have taken, and will take, may not prevent unauthorized use, reverse engineering, or misappropriation of our technologies and we may not be able to detect any of the foregoing. Others may independently develop technologies that infringe on our intellectual property rights. In addition, we cannot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control the use of our open source components, which could allow third parties to create products or solutions that compete with our offerings or that contain errors, defects or other performance problems that could hurt our reputation and reduce the adoption of our solutions in new and existing accounts. Defending and enforcing our intellectual property rights may result in litigation or other contentious actions, any such litigation may not be successful, and even if successful, such litigation can be costly and divert management attention and resources. Further, if we are unsuccessful in asserting our intellectual property rights, an adverse decision could place limitations on the scope of our rights. If our efforts to protect our technologies and intellectual property are inadequate, the value of these intangible assets may be diminished and competitors may be able to replicate our solutions and methods of operations. Any of these events could harm our business, financial condition, and results of operations.</w:t>
      </w:r>
    </w:p>
    <w:p>
      <w:pPr>
        <w:spacing w:after="0" w:line="11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Although copyright protection is available for works of authorship such as computer code, we primarily rely on trade secrets laws to protect our proprietary software code, and have chosen not to register copyrights for the code. Under the United States Copyright Act, copyrights must be registered before the copyright owner may bring an infringement suit in the United States, and if a copyright is not registered within three months of publication of the underlying work, there are limitations on the damages that the copyright owner may be awarded for infringement. Accordingly, because we have chosen not to register the copyrights in our software, the causes of action, remedies and damages available to us in an enforcement action may be limited.</w:t>
      </w:r>
    </w:p>
    <w:p>
      <w:pPr>
        <w:spacing w:after="0" w:line="200" w:lineRule="exact"/>
        <w:rPr>
          <w:sz w:val="20"/>
          <w:szCs w:val="20"/>
          <w:color w:val="auto"/>
        </w:rPr>
      </w:pPr>
    </w:p>
    <w:p>
      <w:pPr>
        <w:spacing w:after="0" w:line="201"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our accounts and other enterprises in the markets in which we operate may result in loss of business.</w:t>
      </w:r>
    </w:p>
    <w:p>
      <w:pPr>
        <w:spacing w:after="0" w:line="91"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90" w:lineRule="exact"/>
        <w:rPr>
          <w:sz w:val="20"/>
          <w:szCs w:val="20"/>
          <w:color w:val="auto"/>
        </w:rPr>
      </w:pPr>
    </w:p>
    <w:p>
      <w:pPr>
        <w:ind w:left="1260" w:right="7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8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0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Even if we are able to consummate acquisitions that we believe will be successful, these transactions present many risks including, among others:</w:t>
      </w:r>
    </w:p>
    <w:p>
      <w:pPr>
        <w:spacing w:after="0" w:line="67" w:lineRule="exact"/>
        <w:rPr>
          <w:sz w:val="20"/>
          <w:szCs w:val="20"/>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synergies and revenue increases;</w:t>
      </w:r>
    </w:p>
    <w:p>
      <w:pPr>
        <w:spacing w:after="0" w:line="117" w:lineRule="exact"/>
        <w:rPr>
          <w:rFonts w:ascii="Times New Roman" w:cs="Times New Roman" w:eastAsia="Times New Roman" w:hAnsi="Times New Roman"/>
          <w:sz w:val="18"/>
          <w:szCs w:val="18"/>
          <w:color w:val="auto"/>
        </w:rPr>
      </w:pPr>
    </w:p>
    <w:p>
      <w:pPr>
        <w:ind w:left="1800" w:right="109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incorporating and integrating the acquired technologies or software solutions with our offerings, and existing applications;</w:t>
      </w:r>
    </w:p>
    <w:p>
      <w:pPr>
        <w:spacing w:after="0" w:line="53" w:lineRule="exact"/>
        <w:rPr>
          <w:rFonts w:ascii="Times New Roman" w:cs="Times New Roman" w:eastAsia="Times New Roman" w:hAnsi="Times New Roman"/>
          <w:sz w:val="18"/>
          <w:szCs w:val="18"/>
          <w:color w:val="auto"/>
        </w:rPr>
      </w:pPr>
    </w:p>
    <w:p>
      <w:pPr>
        <w:ind w:left="1800" w:right="1059" w:hanging="178"/>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an acquired company’s technologies or lines of business or entering new markets where we have limited prior experience or where competitors may have stronger market positions;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quality standards that are consistent with our brand and reputation;</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53" w:lineRule="exact"/>
        <w:rPr>
          <w:rFonts w:ascii="Times New Roman" w:cs="Times New Roman" w:eastAsia="Times New Roman" w:hAnsi="Times New Roman"/>
          <w:sz w:val="18"/>
          <w:szCs w:val="18"/>
          <w:color w:val="auto"/>
        </w:rPr>
      </w:pPr>
    </w:p>
    <w:p>
      <w:pPr>
        <w:ind w:left="1800" w:right="143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management’s attention to transition or integration issues;</w:t>
      </w:r>
    </w:p>
    <w:p>
      <w:pPr>
        <w:spacing w:after="0" w:line="53" w:lineRule="exact"/>
        <w:rPr>
          <w:rFonts w:ascii="Times New Roman" w:cs="Times New Roman" w:eastAsia="Times New Roman" w:hAnsi="Times New Roman"/>
          <w:sz w:val="18"/>
          <w:szCs w:val="18"/>
          <w:color w:val="auto"/>
        </w:rPr>
      </w:pPr>
    </w:p>
    <w:p>
      <w:pPr>
        <w:ind w:left="1800" w:right="113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product does not identify significant problems;</w:t>
      </w:r>
    </w:p>
    <w:p>
      <w:pPr>
        <w:spacing w:after="0" w:line="53" w:lineRule="exact"/>
        <w:rPr>
          <w:rFonts w:ascii="Times New Roman" w:cs="Times New Roman" w:eastAsia="Times New Roman" w:hAnsi="Times New Roman"/>
          <w:sz w:val="18"/>
          <w:szCs w:val="18"/>
          <w:color w:val="auto"/>
        </w:rPr>
      </w:pPr>
    </w:p>
    <w:p>
      <w:pPr>
        <w:jc w:val="both"/>
        <w:ind w:left="1800" w:right="739" w:hanging="178"/>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colleagues, accounts, or other third parties;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and unknown liabilities, including for intellectual property infringement;</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interest expense, leverage and debt service requirements if we incur additional debt to pay for an acquisition;</w:t>
      </w:r>
    </w:p>
    <w:p>
      <w:pPr>
        <w:spacing w:after="0" w:line="53"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issue a significant amount of equity securities in connection with future acquisitions, dilution to existing stockholders and potential decreases in earnings per share;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colleagues, accounts and channel partners of ours or of the acquired company; and</w:t>
      </w:r>
    </w:p>
    <w:p>
      <w:pPr>
        <w:spacing w:after="0" w:line="117"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software and processes of the acquired company.</w:t>
      </w:r>
    </w:p>
    <w:p>
      <w:pPr>
        <w:spacing w:after="0" w:line="94"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may also incur unanticipated costs, expenses or other liabilities as a result of an acquisition target’s violation of applicable laws, such as the Foreign Corrupt Practices Act (“FCPA”) or similar worldwide anti-bribery and anti-corruption laws in foreign jurisdictions, as well as data security and privacy laws such as the GDPR. If we do not achieve the anticipated benefits of our acquisitions as rapidly or to the extent anticipated by management and financial or industry analysts, or if we are subject to unanticipated costs, expenses or other liabilities in connection with our acquisitions, there could be an adverse effect on our stock price, business, financial position, results of operations or cash flows.</w:t>
      </w:r>
    </w:p>
    <w:p>
      <w:pPr>
        <w:spacing w:after="0" w:line="121"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may negatively impact our business. In addition, such acquisitions may contribute to potential fluctuations in our quarterly financial results. These fluctuations could arise from transaction-related costs and charges associated with eliminating redundant expenses or write-offs of impaired assets recorded in connection with acquisitions. These costs or charges could negatively impact our financial results for a given period, cause quarter to quarter variability in our financial results or negatively impact our financial results for several future periods.</w:t>
      </w:r>
    </w:p>
    <w:p>
      <w:pPr>
        <w:spacing w:after="0" w:line="183" w:lineRule="exact"/>
        <w:rPr>
          <w:sz w:val="20"/>
          <w:szCs w:val="20"/>
          <w:color w:val="auto"/>
        </w:rPr>
      </w:pPr>
    </w:p>
    <w:p>
      <w:pPr>
        <w:jc w:val="both"/>
        <w:ind w:left="12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Increasingly stringent and growing data protection and privacy laws with respect to cloud computing, cross-border data transfer restrictions and other restrictions may apply to our business and non-compliance with such rules may limit the use and adoption of our services and adversely affect our business.</w:t>
      </w:r>
    </w:p>
    <w:p>
      <w:pPr>
        <w:spacing w:after="0" w:line="9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As a result, we are required to comply with local laws and regulations, including data protection requirements in the countries where we do business.</w:t>
      </w:r>
    </w:p>
    <w:p>
      <w:pPr>
        <w:spacing w:after="0" w:line="121"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Globally, new and evolving regulations regarding data protection and privacy and other standards governing the collection, processing, storage and use of personal data impose additional burdens for us due to increasing compliance standards that could restrict the use and adoption of our solutions and applications (in particular cloud services).</w:t>
      </w:r>
    </w:p>
    <w:p>
      <w:pPr>
        <w:spacing w:after="0" w:line="11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have significant business operations in the European Union (“E.U.”) and European Economic Area (“EEA”), where the GDPR went into effect on May 25, 2018. The GDPR harmonized data protection regulations across the E.U. and EEA, implementing stringent requirements for the protection of E.U.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38" w:lineRule="auto"/>
        <w:rPr>
          <w:sz w:val="20"/>
          <w:szCs w:val="20"/>
          <w:color w:val="auto"/>
        </w:rPr>
      </w:pPr>
      <w:r>
        <w:rPr>
          <w:rFonts w:ascii="Times New Roman" w:cs="Times New Roman" w:eastAsia="Times New Roman" w:hAnsi="Times New Roman"/>
          <w:sz w:val="18"/>
          <w:szCs w:val="18"/>
          <w:color w:val="auto"/>
        </w:rPr>
        <w:t>EEA individuals’ (“data subjects”) personal data. These requirements include expanded requirements for our users as E.U. and EEA data subjects, new obligations on us as data controllers and processors, and mandatory breach notification to affected individuals and data protection supervisory authorities. Non-compliance with GDPR could result in fines and penalties up to the greater of €20 million or 4% of global turnover for the preceding financial year. Moreover, individuals can claim damages resulting from infringement of the GDPR. As a result of the GDPR, as a personal data processor for our business- to-business accounts we must commit to detailed contractual obligations, including to ensure we only process such data on our accounts’ instructions, keep it secure, require our sub -processors to commit to similar commitments, delete data when the contract ends and let our accounts audit our compliance.</w:t>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E.U. and EEA data protection rules regulate the transfers of E.U. and EEA individuals’ personal data to other countries that have been deemed by the European Commission not to provide adequate protection to personal data. The United States is not deemed to have adequate laws to protect personal data. We had relied upon the E.U.- U.S. Privacy Shield program to legitimize certain transfers of personal data from the E.U. and EEA to the United States. However, on July 16, 2020, the European Court of Justice (“ECJ”) invalidated the E.U.-U.S. Privacy Shield program that we (along with thousands of other companies) have used to transfer data from the E.U. and EEA to the United States in compliance with GDPR. As a result of this decision, companies like us that previously relied upon Privacy Shield will be required to use another GDPR-approved method to legitimize transfers of personal data to the U.S. and other third countries in compliance with the GDPR. Until the remaining legal uncertainties regarding how to legally continue these transfers are settled, we will continue to face uncertainty as to whether our efforts to comply with our obligations under European privacy laws will be sufficient. Our accounts may view alternative data transfer mechanisms as being too costly, too burdensome, too legally uncertain or otherwise objectionable and therefore decide not to do business with us. For example, some of our accounts or potential accounts in the E.U. may require their vendors to host all personal data within the E.U. and may decide to do business with one of our competitors who hosts personal data within the E.U. instead of doing business with us. This and other future developments regarding the flow of data across borders could increase the cost and complexity of delivering our products and services in some markets and may lead to governmental enforcement actions, litigation, fines and penalties or adverse publicity, which could have an adverse effect on our reputation and business.</w:t>
      </w:r>
    </w:p>
    <w:p>
      <w:pPr>
        <w:spacing w:after="0" w:line="266"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Further, laws such as the E.U.’s Privacy and Electronic Communications Directive 2002 (“ePrivacy Directive”), national legislation across the E.U. implementing the ePrivacy Directive and the proposed ePrivacy Regulation are increasingly aimed at the use of personal data for marketing purposes, and the tracking of individuals’ online activities. These existing or proposed laws and regulations are subject to differing interpretations and may be inconsistent among jurisdictions and member states. These and other requirements may have a negative effect on businesses, including ours, that collect and use online usage information for consumer acquisition and marketing. As the text of the ePrivacy Regulation is still under development, and as further guidance is issued and interpretation of both the ePrivacy Regulation and GDPR develop, we could incur costs to comply with these regulations.</w:t>
      </w:r>
    </w:p>
    <w:p>
      <w:pPr>
        <w:spacing w:after="0" w:line="121"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 addition, despite the enactment of the UK Data Protection Act, which substantially implements the GDPR and became effective in May 2018, it remains unclear exactly how the withdrawal of the United Kingdom from the European Union will affect transborder data flows, regulators’ jurisdiction over our business, and other matters related to how we do business and how we comply with applicable data protection laws. Accordingly, we cannot predict the additional expense, impact on revenue, or other business impact that may stem from the United Kingdom’s withdrawal from the European Union at this time.</w:t>
      </w:r>
    </w:p>
    <w:p>
      <w:pPr>
        <w:spacing w:after="0" w:line="32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the Asia-Pacific region, where we have significant business operations, changes in privacy and cybersecurity regulation, some of which is similar to changes effected by the GDPR, have come into effect in 2018 and 2019, and similar significant regulatory changes are expected across the Asia-Pacific region in the future. These changes introduce more stringent requirements, including that we register our data processing activities in certain jurisdictions, appoint local representatives in-country, restrict the cross-border transfer of personal, confidential and commercially sensitive information in some cases, provide expanded disclosures to tell our accounts about how we use their personal information, and obtain detailed consents from accounts to processing of personal information. There are also increased rights for accounts to access, control and delete their personal information. In addition, there are mandatory data breach notification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19"/>
        <w:spacing w:after="0" w:line="266" w:lineRule="auto"/>
        <w:rPr>
          <w:sz w:val="20"/>
          <w:szCs w:val="20"/>
          <w:color w:val="auto"/>
        </w:rPr>
      </w:pPr>
      <w:r>
        <w:rPr>
          <w:rFonts w:ascii="Times New Roman" w:cs="Times New Roman" w:eastAsia="Times New Roman" w:hAnsi="Times New Roman"/>
          <w:sz w:val="18"/>
          <w:szCs w:val="18"/>
          <w:color w:val="auto"/>
        </w:rPr>
        <w:t>requirements that differ depending on the jurisdiction as well as increases to penalties and expanded enforcement powers for regulators.</w:t>
      </w:r>
    </w:p>
    <w:p>
      <w:pPr>
        <w:spacing w:after="0" w:line="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the EEA, and other jurisdictions, and we cannot yet determine the impact such future laws, regulations and standards may have on our business. For example, in June 2018 California enacted the California Consumer Privacy Act (the “CCPA”), which took effect on January 1, 2020. The CCPA broadly defines personal information, gives California residents expanded privacy rights and protections and provides for civil penalties for violations and a private right of action for data breaches. In addition to government activity, privacy advocacy groups and technology and other industries are considering various new, additional or different self-regulatory standards that may place additional burdens on us. Future laws, regulations, standards and other obligations, and changes in the interpretation of existing laws, regulations, standards and other obligations could impair our ability to collect, use or disclose personally identifiable information, increase our costs and impair our ability to maintain and grow our account base and increase our revenue. New laws, amendments to or re-interpretations of existing laws and regulations, industry standards, contractual obligations and other obligations may require us to incur additional costs and restrict our business operations. Such laws and regulations may require companies to implement privacy and security policies, permit users to access, correct and delete personal data stored or maintained by such companies, inform individuals of security breaches that affect their personal data, and, in some cases, obtain individuals’ consent to use personal data for certain purposes. If we, or the third parties on which we rely, fail to comply with federal, state and international data privacy laws and regulations, our ability to successfully operate our business and pursue our business goals could be harmed.</w:t>
      </w:r>
    </w:p>
    <w:p>
      <w:pPr>
        <w:spacing w:after="0" w:line="266"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such data, could result in enforcement action against us, including fines and public censure, claims for damages by accounts and other affected individuals, damage to our reputation and loss of goodwill (both in relation to existing accounts and prospective accounts), any of which could harm our business, financial condition, and results of operations.</w:t>
      </w:r>
    </w:p>
    <w:p>
      <w:pPr>
        <w:spacing w:after="0" w:line="113"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data. If those lawsuits are successful, it could increase the likelihood that our company may be exposed to liability for our own policies and practices concerning the processing of personal data and could hurt our business.</w:t>
      </w:r>
    </w:p>
    <w:p>
      <w:pPr>
        <w:spacing w:after="0" w:line="10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24"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it, or lead to significant fines, penalties or liabilities for any noncompliance.</w:t>
      </w:r>
    </w:p>
    <w:p>
      <w:pPr>
        <w:spacing w:after="0" w:line="10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may cause our accounts’ customers to resist providing the data necessary to allow our accounts to use our services effectively. Even the perception that the privacy of personal information is not satisfactorily protected or does not meet regulatory requirements could inhibit sales of our software solutions or services, and could limit adoption of our cloud-based solutions.</w:t>
      </w:r>
    </w:p>
    <w:p>
      <w:pPr>
        <w:spacing w:after="0" w:line="176"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personnel, and we could be subject to substantial risk of loss if any of them terminate their relationship with us.</w:t>
      </w:r>
    </w:p>
    <w:p>
      <w:pPr>
        <w:spacing w:after="0" w:line="7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Our success depends upon the continued services of our key personnel, including Barry J. Bentley, Gregory S. Bentley, Keith A. Bentley and Raymond B. Bentley. These individuals and each of our other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executive officers, key technical personnel, and colleagues could terminate his or her relationship with us at any time. Failure to effectively implement our succession planning efforts and to ensure effective transfers of knowledge and smooth transitions involving key personnel could disrupt or adversely affect our business and results of operations. Additionally, Barry J. Bentley, Gregory S. Bentley, Keith A. Bentley and Raymond B. Bentley and most of our senior management team and other key personnel are not subject to employment or other agreements containing non-compete provisions. Accordingly, the adverse effect resulting from the loss of certain key personnel could be compounded by our inability to prevent them from competing with us. Further, we do not maintain key person insurance on any of our senior management team or other key personnel in the event of their death or extended incapacity. The loss of any of our senior executives might significantly delay or prevent the achievement of our business objectives and could harm our business and account relationships.</w:t>
      </w:r>
    </w:p>
    <w:p>
      <w:pPr>
        <w:spacing w:after="0" w:line="316"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integrating and retaining highly qualified personnel, we may not be able to successfully implement our business strategy.</w:t>
      </w:r>
    </w:p>
    <w:p>
      <w:pPr>
        <w:spacing w:after="0" w:line="7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Our ability to establish and maintain a position of technology leadership in the highly competitive software market depends in large part upon our ability to attract, integrate and retain highly skilled engineering and development personnel in the United States and internationally. The market for this talent is highly competitive, and our recruiting efforts are widespread and conducted in varying hiring climates throughout the world. Due to restrictive immigration laws in the United States, we are also sometimes limited in our ability to integrate our international colleagues to locations where their skills may be particularly well-suited. If we are not successful in recruiting and retaining key personnel or integrating our personnel effectively, our business, reputation and results of operations could be adversely affected.</w:t>
      </w:r>
    </w:p>
    <w:p>
      <w:pPr>
        <w:spacing w:after="0" w:line="143" w:lineRule="exact"/>
        <w:rPr>
          <w:sz w:val="20"/>
          <w:szCs w:val="20"/>
          <w:color w:val="auto"/>
        </w:rPr>
      </w:pPr>
    </w:p>
    <w:p>
      <w:pPr>
        <w:ind w:left="1260" w:right="9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4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 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43"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prospects may be harmed if we are unable to cross-sell our solutions.</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 significant component of our growth strategy is to increase the cross -selling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cross-sell these solutions to accounts using our existing solutions. Any failure to sell additional solutions to current and future accounts could harm our business, financial condition, results of operations, and prospects.</w:t>
      </w:r>
    </w:p>
    <w:p>
      <w:pPr>
        <w:spacing w:after="0" w:line="127" w:lineRule="exact"/>
        <w:rPr>
          <w:sz w:val="20"/>
          <w:szCs w:val="20"/>
          <w:color w:val="auto"/>
        </w:rPr>
      </w:pPr>
    </w:p>
    <w:p>
      <w:pPr>
        <w:ind w:left="1260" w:right="7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license third-party technologies for the development of certain of our software solutions, and, in some instances, we incorporate third-party technologies, including open source software, into our software solutions. If we fail to maintain these licenses or are unable to secure alternative licenses on reasonable terms, our business could be adversely affected.</w:t>
      </w:r>
    </w:p>
    <w:p>
      <w:pPr>
        <w:spacing w:after="0" w:line="10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license third-party technologies to develop certain of our products, and, in some cases, we incorporate third-party technologies into our own software solutions, including technologies owned by our</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competitors. If we were to seek to expand the scope of this activity in the future, we could be required to obtain additional licenses and enter into long-term arrangements with third parties on whose technology we could become substantially dependent.</w:t>
      </w:r>
    </w:p>
    <w:p>
      <w:pPr>
        <w:spacing w:after="0" w:line="96"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If we are unable to use or license these third -party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w:t>
      </w:r>
    </w:p>
    <w:p>
      <w:pPr>
        <w:spacing w:after="0" w:line="116"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Furthermore, we are unable to predict whether future license agreements and arrangements with third parties can be obtained, and, if obtained, whether they can be renewed on acceptable terms, or at all. If we become substantially dependent upon any such third-party technology and we are unable to successfully license it, we may not be able to develop or commercialize our software solutions in a timely manner or at all. Any of the foregoing could adversely impact our business and results of operations.</w:t>
      </w:r>
    </w:p>
    <w:p>
      <w:pPr>
        <w:spacing w:after="0" w:line="11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 In such event, we could be required to seek licenses from third-parties in order to continue offering our products, to disclose and offer royalty-free licenses to our own source code, to re-engineer our products, or to discontinue the sale of our products in the event re-engineering cannot be accomplished on a timely basis, any of which could adversely impact our business and results of operations.</w:t>
      </w:r>
    </w:p>
    <w:p>
      <w:pPr>
        <w:spacing w:after="0" w:line="379" w:lineRule="exact"/>
        <w:rPr>
          <w:sz w:val="20"/>
          <w:szCs w:val="20"/>
          <w:color w:val="auto"/>
        </w:rPr>
      </w:pPr>
    </w:p>
    <w:p>
      <w:pPr>
        <w:ind w:left="1260" w:right="8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As a result of our strategy of strategic partnerships with other companies for product development, our product delivery schedules could be adversely affected if we experience difficulties with our product development partners.</w:t>
      </w:r>
    </w:p>
    <w:p>
      <w:pPr>
        <w:spacing w:after="0" w:line="5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have strategic partnerships with certain independent firms and contractors to perform some of our product development activities. We believe our strategic partnerships allow us to, among other things, achieve efficiencies in developing new products and maintaining and enhancing existing product offerings. Our strategic partnerships create a dependency on such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 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 which in turn could harm our business, financial condition, and results of operations.</w:t>
      </w:r>
    </w:p>
    <w:p>
      <w:pPr>
        <w:spacing w:after="0" w:line="370" w:lineRule="exact"/>
        <w:rPr>
          <w:sz w:val="20"/>
          <w:szCs w:val="20"/>
          <w:color w:val="auto"/>
        </w:rPr>
      </w:pPr>
    </w:p>
    <w:p>
      <w:pPr>
        <w:ind w:left="1260" w:right="1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have a negative effect on global economic conditions, financial markets and our business.</w:t>
      </w:r>
    </w:p>
    <w:p>
      <w:pPr>
        <w:spacing w:after="0" w:line="90"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The United Kingdom’s withdrawal from the European Union (“Brexit”) has created political and economic uncertainty, particularly in the United Kingdom and the European Union, and this uncertainty may last for years. Demand for our software solutions or services could be affected by the impact of Brexit. For example, while we have invoiced our U.K.-based accounts and operated our business within the United Kingdom through our U.K. -based subsidiary since the fourth quarter of 2018 to manage risks posed to our business and operations by Brexit, Brexit may cause delays in purchasing decisions by our potential and current accounts affected by this transition and there is considerable uncertainty as to when the long-term nature of the United Kingdom’s relationship with the European Union will be agreed and implemented and what the terms of that relationship will be. The final terms of this exit by the United Kingdom from the European Union may result in new regulatory and cost challenges to our U.K. and global operations. In addition, our business and our channel partners’ businesses could be negatively affected by new trade agreements between the United Kingdom and other countries, including the United States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and by the possible imposition of trade or other regulatory barriers in the United Kingdom. The unresolved final terms of Brexit have also created uncertainty with regard to the regulation of data protection in the United Kingdom. For example, the UK Data Protection Act, which substantially implements the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Depending on the terms reached regarding any exit from the European Union, it is possible that there may be adverse practical or operational implications on our business. Further, the United Kingdom’s exit from the European Union may create increased compliance costs and an uncertain regulatory landscape for offering equity-based incentives to our employees in the United Kingdom. If we are unable to maintain equity- 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w:t>
      </w: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There are significant costs and restrictions associated with the repatriation of cash from our non-U.S. operations.</w:t>
      </w:r>
    </w:p>
    <w:p>
      <w:pPr>
        <w:spacing w:after="0" w:line="146" w:lineRule="exact"/>
        <w:rPr>
          <w:sz w:val="20"/>
          <w:szCs w:val="20"/>
          <w:color w:val="auto"/>
        </w:rPr>
      </w:pPr>
    </w:p>
    <w:p>
      <w:pPr>
        <w:jc w:val="both"/>
        <w:ind w:left="1260" w:right="1099" w:firstLine="360"/>
        <w:spacing w:after="0" w:line="242"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approximately 98% of those balances held outside of the United States as of December 31, 2019. Cash repatriation restrictions may limit our ability to repatriate cash held by our foreign subsidiaries.</w:t>
      </w:r>
    </w:p>
    <w:p>
      <w:pPr>
        <w:spacing w:after="0" w:line="1"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372"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11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Intellectual property lawsuits are subject to inherent uncertainties due to the complexity of the technical issues involved, and we cannot be certain that we will be successful in defending ourselves against intellectual property claims. In addition, we may not be able to effectively use our intellectual property portfolio to assert defenses or counterclaims in response to copyright, patent and trademark infringement claims or litigation, as well as claims for trade secret misappropriation and unfair competition, brought against us by third parties. Further, litigation may involve patent holding companies or other adverse patent owners who have no relevant products and against whom our patent portfolio may provide little or no deterrence.</w:t>
      </w:r>
    </w:p>
    <w:p>
      <w:pPr>
        <w:spacing w:after="0" w:line="30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Many potential litigants have the capability to dedicate substantially greater resources to enforce their intellectual property rights and to defend claims that may be brought against them. Furthermore, a successful claimant could secure a judgment that requires us to pay substantial damages or prevents us from distributing certain solutions or performing certain services. We might also be required to seek a license and pay royalties for the use of such intellectual property, which may not be available on commercially acceptable terms or at all. Alternatively, we may be required to develop non-infringing technology, which could require significant effort and expense and may ultimately not be successful.</w:t>
      </w:r>
    </w:p>
    <w:p>
      <w:pPr>
        <w:spacing w:after="0" w:line="181"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solutions infringe on the intellectual property rights of others, we may be required to indemnify our accounts for any damages they suffer.</w:t>
      </w:r>
    </w:p>
    <w:p>
      <w:pPr>
        <w:spacing w:after="0" w:line="9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generally indemnify our accounts with respect to infringement by our products of the proprietary rights of third parties. Third parties may assert infringement claims against our accounts. These claims may</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79"/>
        <w:spacing w:after="0" w:line="245" w:lineRule="auto"/>
        <w:rPr>
          <w:sz w:val="20"/>
          <w:szCs w:val="20"/>
          <w:color w:val="auto"/>
        </w:rPr>
      </w:pPr>
      <w:r>
        <w:rPr>
          <w:rFonts w:ascii="Times New Roman" w:cs="Times New Roman" w:eastAsia="Times New Roman" w:hAnsi="Times New Roman"/>
          <w:sz w:val="18"/>
          <w:szCs w:val="18"/>
          <w:color w:val="auto"/>
        </w:rPr>
        <w:t>require us to initiate or defend protracted and costly litigation on behalf of our accounts, regardless of the merits of these claims. If any of these claims succeed, we may be forced to pay damages on behalf of our accounts or may be required to obtain licenses for the products they use. If we cannot obtain all necessary licenses on commercially reasonable terms, our accounts may stop using our products.</w:t>
      </w:r>
    </w:p>
    <w:p>
      <w:pPr>
        <w:spacing w:after="0" w:line="177"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and our accounts may impact our ability to sell our software solutions at prices necessary to support our current business strategies.</w:t>
      </w:r>
    </w:p>
    <w:p>
      <w:pPr>
        <w:spacing w:after="0" w:line="7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intense competition we face in the sales of our software solutions and services, and general economic and business conditions, can put pressure on us to lower our prices. If our competitors offer deep discounts on certain software solutions or services, or develop software solutions that the marketplace considers more valuable, we may need to lower prices or offer discounts or other favorable terms to compete successfully. Any such changes may reduce operating margins and could adversely affect results of operations. Any broad-based change to our prices and pricing policies could cause new software subscription and service revenues to decline or be delayed as our sales force implements and our accounts adjust to the new pricing policies.</w:t>
      </w:r>
    </w:p>
    <w:p>
      <w:pPr>
        <w:spacing w:after="0" w:line="383"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covenants that may limit our operating flexibility, and certain changes in ownership of equity interests in us by the Bentley Family constitutes an event of default.</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agreement governing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3.50 to 1.00 and a covenant requiring the fixed charge coverage ratio for any period of four consecutive fiscal quarters to not be less than 3.0 to 1.00, and financial reporting requirements. Borrowings under the Credit Facility are secured by a first priority security interest in substantially all of our U.S. assets and 65% of the stock our foreign subsidiaries owned by a party to the agreement governing the Credit Facility.</w:t>
      </w:r>
    </w:p>
    <w:p>
      <w:pPr>
        <w:spacing w:after="0" w:line="302"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Further, if the Bentley Family ceases to collectively own equity interests in us representing at least a majority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104"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could affect interest rates under our Credit Facility.</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On July 27, 2017, the United Kingdom’s Financial Conduct Authority announced it intends to stop compelling banks to submit rates for the calculation of the London Interbank Offered Rate (“LIBOR”) after 2021. It is unclear if LIBOR will cease to exist at that time, if a new method of calculating LIBOR will be established, or if an alternative reference rate will be established. The Federal Reserve Board and the Federal Reserve Bank of New York organized the Alternative Reference Rates Committee, which identified the Secured Overnight Financing Rate (“SOFR”) as its preferred alternative to U.S. dollar LIBOR in derivatives and other financial contracts. We are not able to predict when LIBOR will cease to be available or if SOFR, or another alternative reference rate, attains market traction as a LIBOR replacement.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w:t>
      </w: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margins and, as such, the interest rate on Euro currency borrowings under our Credit Facility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which could exacerbate the risks described above.</w:t>
      </w:r>
    </w:p>
    <w:p>
      <w:pPr>
        <w:spacing w:after="0" w:line="148"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“Management’s Discussion and Analysis of Financial Condition and Results of Operations — Liquidity and Capital Resources.”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to us.</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may require substantial funds to operate our business and pursue our strategies. Our future liquidity and capital requirements are difficult to predict as they depend upon many factors, including the success of our solutions and competing technological and market developments. In the future, we may require additional capital to respond to business opportunities, challenges, acquisitions, a decline in the level of account prepayments or unforeseen circumstances and may determine to engage in equity or debt financings or enter into credit facilities for other reasons, and we may not be able to timely secure additional debt or equity financing on favorable terms, or at all. Any additional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raise funds through issuances of equity, convertible debt securities or other securities convertible into equity, our existing stockholders could suffer significant dilution in their percentage ownership of our company. If we are unable to obtain adequate financing or financing on terms satisfactory to us when we require it, our ability to continue to grow or support our business and to respond to business challenges could be significantly limited.</w:t>
      </w:r>
    </w:p>
    <w:p>
      <w:pPr>
        <w:spacing w:after="0" w:line="200" w:lineRule="exact"/>
        <w:rPr>
          <w:sz w:val="20"/>
          <w:szCs w:val="20"/>
          <w:color w:val="auto"/>
        </w:rPr>
      </w:pPr>
    </w:p>
    <w:p>
      <w:pPr>
        <w:spacing w:after="0" w:line="211"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107"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200" w:lineRule="exact"/>
        <w:rPr>
          <w:sz w:val="20"/>
          <w:szCs w:val="20"/>
          <w:color w:val="auto"/>
        </w:rPr>
      </w:pPr>
    </w:p>
    <w:p>
      <w:pPr>
        <w:spacing w:after="0" w:line="204"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invest more resources in research and development than anticipated, which could increase our operating expenses and negatively affect our results of operations.</w:t>
      </w:r>
    </w:p>
    <w:p>
      <w:pPr>
        <w:spacing w:after="0" w:line="7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We devote substantial resources to research and development. New competitors, technological advances in the software industry or by competitors, our acquisitions, our entry into new markets, or other competitive factors may require us to invest significantly greater resources than we anticipate. If we are required to invest significantly greater resources than anticipated without a corresponding increase in</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revenue, our results of operations could decline. Additionally, our periodic research and development expenses may be independent of our level of revenue, which could negatively impact our financial results.</w:t>
      </w:r>
    </w:p>
    <w:p>
      <w:pPr>
        <w:spacing w:after="0" w:line="8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Further, technology for which we spend a significant amount of time and resources on in our research and development, such as our digital twin technology, may prove to be less marketable than we expect. There can be no guarantee that our research and development investments will result in products that create additional revenue.</w:t>
      </w:r>
    </w:p>
    <w:p>
      <w:pPr>
        <w:spacing w:after="0" w:line="176"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are from sales by our channel partners, and we could be subject to loss or liability based on their actions.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Sales through our global network of independent, regional channel partners accounted for 9% and 8% of our revenues for the years ended December 31, 2018 and 2019, respectively. These channel partners sell our software solutions to smaller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13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79" w:lineRule="exact"/>
        <w:rPr>
          <w:sz w:val="20"/>
          <w:szCs w:val="20"/>
          <w:color w:val="auto"/>
        </w:rPr>
      </w:pPr>
    </w:p>
    <w:p>
      <w:pPr>
        <w:ind w:left="1260" w:right="1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solutions are complex, and accounts may experience difficulty in implementing, upgrading or otherwise achieving the benefits attributable to them.</w:t>
      </w:r>
    </w:p>
    <w:p>
      <w:pPr>
        <w:spacing w:after="0" w:line="78" w:lineRule="exact"/>
        <w:rPr>
          <w:sz w:val="20"/>
          <w:szCs w:val="20"/>
          <w:color w:val="auto"/>
        </w:rPr>
      </w:pPr>
    </w:p>
    <w:p>
      <w:pPr>
        <w:ind w:left="1260" w:right="899" w:firstLine="360"/>
        <w:spacing w:after="0" w:line="255" w:lineRule="auto"/>
        <w:rPr>
          <w:sz w:val="20"/>
          <w:szCs w:val="20"/>
          <w:color w:val="auto"/>
        </w:rPr>
      </w:pPr>
      <w:r>
        <w:rPr>
          <w:rFonts w:ascii="Times New Roman" w:cs="Times New Roman" w:eastAsia="Times New Roman" w:hAnsi="Times New Roman"/>
          <w:sz w:val="18"/>
          <w:szCs w:val="18"/>
          <w:color w:val="auto"/>
        </w:rPr>
        <w:t>Due to the scope and complexity of some of the solutions that we provide, our implementation cycle for them can be lengthy and unpredictable. Some solutions require configuration and integration with existing computer systems and applications of our accounts and their trading partners, which can be time-consuming and expensive for our accounts and can result in implementation delays. As a result, some accounts may have difficulty implementing those solutions successfully or otherwise achieving their expected benefits. Delayed or ineffective implementation or upgrades may limit our future sales opportunities, negatively affect revenue, result in account dissatisfaction and harm our reputation.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Determining our effective income tax rate is complex and subject to uncertainty.</w:t>
      </w:r>
    </w:p>
    <w:p>
      <w:pPr>
        <w:spacing w:after="0" w:line="162"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make significant estimates in determining our worldwide income tax provision. These estimates involve complex tax laws and regulations in a number of jurisdictions across our global operations and are subject to many transactions and calculations in which the ultimate tax outcome is uncertain. The final outcome of tax matters could be different than the estimates reflected in the historical income tax provision and related accruals. These differences could have a material impact on income tax expense and net income in the periods in which such determinations are made.</w:t>
      </w:r>
    </w:p>
    <w:p>
      <w:pPr>
        <w:spacing w:after="0" w:line="120" w:lineRule="exact"/>
        <w:rPr>
          <w:sz w:val="20"/>
          <w:szCs w:val="20"/>
          <w:color w:val="auto"/>
        </w:rPr>
      </w:pPr>
    </w:p>
    <w:p>
      <w:pPr>
        <w:ind w:left="1260" w:right="879" w:firstLine="360"/>
        <w:spacing w:after="0" w:line="257" w:lineRule="auto"/>
        <w:rPr>
          <w:sz w:val="20"/>
          <w:szCs w:val="20"/>
          <w:color w:val="auto"/>
        </w:rPr>
      </w:pPr>
      <w:r>
        <w:rPr>
          <w:rFonts w:ascii="Times New Roman" w:cs="Times New Roman" w:eastAsia="Times New Roman" w:hAnsi="Times New Roman"/>
          <w:sz w:val="18"/>
          <w:szCs w:val="18"/>
          <w:color w:val="auto"/>
        </w:rPr>
        <w:t>The amount of income tax we pay is subject to ongoing audits by federal, state and foreign tax authorities. These audits can often result in additional assessments, including interest and penalties. Our estimate for liabilities associated with uncertain tax positions is highly judgmental and actual future outcomes may result in favorable or unfavorable adjustments to our estimated tax liabilities, including estimates for uncertain tax positions, in the period the assessments are made or resolved, audits are closed or when statutes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of limitation on potential assessments expire. As a result, our effective tax rate may fluctuate significantly on a quarterly or annual basis.</w:t>
      </w:r>
    </w:p>
    <w:p>
      <w:pPr>
        <w:spacing w:after="0" w:line="158" w:lineRule="exact"/>
        <w:rPr>
          <w:sz w:val="20"/>
          <w:szCs w:val="20"/>
          <w:color w:val="auto"/>
        </w:rPr>
      </w:pPr>
    </w:p>
    <w:p>
      <w:pPr>
        <w:ind w:left="1260" w:right="7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intended efficiency of our corporate structure depends on the application of the tax laws and regulations in the countries where we operate, and we may have exposure to additional tax liabilities or our effective tax rate could change, which could have a material impact on our financial condition and results of operations.</w:t>
      </w:r>
    </w:p>
    <w:p>
      <w:pPr>
        <w:spacing w:after="0" w:line="81"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a company with international operations, we are subject to income taxes, as well as non-income based taxes, in both the United States and various foreign jurisdictions. Currently, the majority of our revenues is generated from accounts located outside the United States, and a large portion of our assets are located outside the United States. We have designed our corporate structure, the manner in which we develop and use our intellectual property, and our intercompany transactions between our subsidiaries in a way that is intended to enhance our operational and financial efficiency and increase our overall profitability. United States income taxes and foreign withholding taxes have not been provided on undistributed earnings of non-U.S. subsidiaries to the extent those earnings are considered to be indefinitely reinvested in the operations of those subsidiaries. The application of the tax laws and regulations of various countries in which we operate and to our global operations is subject to interpretation. We also must operate our business in a manner consistent with our corporate structure to realize such efficiencies. The tax authorities of the countries in which we operate may challenge our methodologies for valuing developed technology or for transfer pricing. If, for one or more of these reasons, tax authorities determine that the manner in which we operate results in our business not achieving the intended tax consequences, our effective tax rate could increase and harm our financial condition and results of operations.</w:t>
      </w:r>
    </w:p>
    <w:p>
      <w:pPr>
        <w:spacing w:after="0" w:line="28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A change in the tax law in the jurisdictions in which we do business, including an increase in tax rates, an adverse change in the treatment of an item of income or expense, a decrease in tax rates in a jurisdiction in which we have significant deferred tax assets, or a new or different interpretation of applicable tax law, could result in a material increase in tax expense. The United States government and other governments are considering and may adopt tax law changes that significantly increase our worldwide tax liabilities. The U.S. Congress and other government legislatures and agencies in countries where we and our subsidiaries operate have focused on issues related to the taxation of multinational corporations. For example, in Ireland, where one of our significant subsidiaries is domiciled, tax authorities recently announced changes to the treatment of non-resident Irish entities. The changes are expected to take effect for existing non- resident Irish entities, such as ours, in 2021. These changes, and other prospective changes in the United States and other countries in which we and our subsidiaries operate, could increase our effective tax rate, and harm our financial condition and results of operations.</w:t>
      </w:r>
    </w:p>
    <w:p>
      <w:pPr>
        <w:spacing w:after="0" w:line="189" w:lineRule="exact"/>
        <w:rPr>
          <w:sz w:val="20"/>
          <w:szCs w:val="20"/>
          <w:color w:val="auto"/>
        </w:rPr>
      </w:pPr>
    </w:p>
    <w:p>
      <w:pPr>
        <w:ind w:left="1260" w:right="6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8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361"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and similar anti-bribery and anti-corruption laws associated with our activities outside the United States could subject us to penalties and other adverse consequences.</w:t>
      </w:r>
    </w:p>
    <w:p>
      <w:pPr>
        <w:spacing w:after="0" w:line="63"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majority of our revenues are from jurisdictions outside of the United States. We are subject to the FCPA, which generally prohibits U.S. companies and their intermediaries from making payments to foreign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Times New Roman" w:cs="Times New Roman" w:eastAsia="Times New Roman" w:hAnsi="Times New Roman"/>
          <w:sz w:val="18"/>
          <w:szCs w:val="18"/>
          <w:color w:val="auto"/>
        </w:rPr>
        <w:t>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10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many foreign jurisdictions where we operate, particularly countries with developing economies, it may be a local custom for businesses to engage in practices that are prohibited by the FCPA or other similar laws and regulations. There can be no assurance that our colleagues, partners and agents, as well as those companies to which we outsource certain of our business operations, will not take actions in violation of the FCPA or our policies for which we may be ultimately held responsible. If we or our intermediaries fail to comply with the requirements of the FCPA or similar anti-bribery and anti-corruption legislation such as the United Kingdom Bribery Act and the China Unfair Competition law, governmental authorities in the United States and elsewhere could seek to impose civil and/or criminal fines and penalties, which could harm our business, financial conditions, and results of operations. We may also face collateral consequences such as debarment and the loss of our export privileges.</w:t>
      </w:r>
    </w:p>
    <w:p>
      <w:pPr>
        <w:spacing w:after="0" w:line="190"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91"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self-disclosures or other measures.</w:t>
      </w:r>
    </w:p>
    <w:p>
      <w:pPr>
        <w:spacing w:after="0" w:line="127"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Further, if our channel partners fail to obtain appropriate import, export or re-export licenses or permits, we may also be adversely affected, for example, through reputational harm as well as other negative consequences including government investigations and penalties. Complying with export control and sanctions regulations for a particular sale may be time-consuming and may result in the delay or loss of sales opportunities.</w:t>
      </w:r>
    </w:p>
    <w:p>
      <w:pPr>
        <w:spacing w:after="0" w:line="32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disrupted upon the occurrence of a catastrophic event.</w:t>
      </w:r>
    </w:p>
    <w:p>
      <w:pPr>
        <w:spacing w:after="0" w:line="162"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accounts and computer operations for our internal use. The failure of our systems or hosted computer services due to a catastrophic event, such as an earthquake, fire, flood, tsunami, weather event, pandemic, telecommunications failure, power failure, cyber attack, terrorism, or war, could adversely impact our business, financial condition, or results of operations.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conduct business. This could in turn decrease that country’s or region’s demand for our products and services, thereby negatively impacting our financial results.</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product or professional liability claims that could cause us to be liable for damages.</w:t>
      </w:r>
    </w:p>
    <w:p>
      <w:pPr>
        <w:spacing w:after="0" w:line="148"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24"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81"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and judgments about, among other things, taxes, revenue recognition, stock-based compensation costs, investments, contingent obligations, allowance for doubtful accounts and intangible assets. These estimates and judgments affect the reported amounts of our assets, liabilities, revenues and expenses,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48" w:lineRule="exact"/>
        <w:rPr>
          <w:sz w:val="20"/>
          <w:szCs w:val="20"/>
          <w:color w:val="auto"/>
        </w:rPr>
      </w:pPr>
    </w:p>
    <w:p>
      <w:pPr>
        <w:ind w:left="1260" w:right="959" w:firstLine="360"/>
        <w:spacing w:after="0" w:line="245"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rules, or varying interpretations of current accounting pronouncements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U.S. GAAP is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particular, 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supersedes the lease accounting guidance in ASC 840, Leases. The core principle of ASC 842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As an “emerging growth company,” we are allowed under the JOBS Act to delay adoption of new or revised accounting pronouncements applicable to public companies until such pronouncements are made applicable to private companies. We have elected to take advantage of this extended</w:t>
      </w: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transition period under the JOBS Act with respect to ASC 842, which resulted in ASC 842 becoming effective for us beginning on January 1, 2020. Any difficulties in implementing these pronouncements could cause us to fail to meet our financial reporting obligations, which could result in regulatory discipline and harm investors’ confidence in us.</w:t>
      </w:r>
    </w:p>
    <w:p>
      <w:pPr>
        <w:spacing w:after="0" w:line="100" w:lineRule="exact"/>
        <w:rPr>
          <w:sz w:val="20"/>
          <w:szCs w:val="20"/>
          <w:color w:val="auto"/>
        </w:rPr>
      </w:pPr>
    </w:p>
    <w:p>
      <w:pPr>
        <w:ind w:left="1260" w:right="979" w:firstLine="360"/>
        <w:spacing w:after="0" w:line="245" w:lineRule="auto"/>
        <w:rPr>
          <w:sz w:val="20"/>
          <w:szCs w:val="20"/>
          <w:color w:val="auto"/>
        </w:rPr>
      </w:pPr>
      <w:r>
        <w:rPr>
          <w:rFonts w:ascii="Times New Roman" w:cs="Times New Roman" w:eastAsia="Times New Roman" w:hAnsi="Times New Roman"/>
          <w:sz w:val="18"/>
          <w:szCs w:val="18"/>
          <w:color w:val="auto"/>
        </w:rPr>
        <w:t>We are evaluating the impact of the adoption of ASC 842 and currently believe the most significant impact upon adoption will be the recognition of material right-of -use assets and lease liabilities on our consolidated balance sheets associated with operating leases. We do not believe this standard will have a material impact on our consolidated statements of operations data.</w:t>
      </w:r>
    </w:p>
    <w:p>
      <w:pPr>
        <w:spacing w:after="0" w:line="177"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B common stock less attractive to investors.</w:t>
      </w:r>
    </w:p>
    <w:p>
      <w:pPr>
        <w:spacing w:after="0" w:line="90"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 which could be as long as five full fiscal years following the listing of our Class B common stock on The Nasdaq Global Select Market. We cannot predict if investors will find our Class B common stock less attractive because we will rely on these exemptions. If some investors find our Class B common stock less attractive as a result, there may be a less active trading market for our Class B common stock and the price of our Class B common stock may be more volatile.</w:t>
      </w:r>
    </w:p>
    <w:p>
      <w:pPr>
        <w:spacing w:after="0" w:line="120"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 -convertible debt securities; and (iv) the last day of the fiscal year ending after the fifth anniversary of the completion of this offering.</w:t>
      </w:r>
    </w:p>
    <w:p>
      <w:pPr>
        <w:spacing w:after="0" w:line="181" w:lineRule="exact"/>
        <w:rPr>
          <w:sz w:val="20"/>
          <w:szCs w:val="20"/>
          <w:color w:val="auto"/>
        </w:rPr>
      </w:pPr>
    </w:p>
    <w:p>
      <w:pPr>
        <w:ind w:left="1260" w:right="6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under Section 107 of the JOBS Act to use the extended transition period with respect to complying with new or revised accounting standards, our financial statements may not be comparable to companies that comply with public company effective dates, making it more difficult for an investor to compare our results with other public companies.</w:t>
      </w:r>
    </w:p>
    <w:p>
      <w:pPr>
        <w:spacing w:after="0" w:line="100" w:lineRule="exact"/>
        <w:rPr>
          <w:sz w:val="20"/>
          <w:szCs w:val="20"/>
          <w:color w:val="auto"/>
        </w:rPr>
      </w:pPr>
    </w:p>
    <w:p>
      <w:pPr>
        <w:ind w:left="1260" w:right="799" w:firstLine="360"/>
        <w:spacing w:after="0" w:line="239"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of 1933, as amended (the “Securities Act”) by Section 102(b)(1) of the JOBS Act, for complying with new or revised accounting standards. In other words, as an emerging growth company we can delay the adoption of new or revised accounting standards that have different effective dates for public and private companies until those standards would otherwise apply to private companies, which will result in less available information for our investors. We have elected to take advantage of the benefits of this extended transition period. As a result, our financial statements may not be comparable to those of companies that comply with public company effective dates.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B Common Stock</w:t>
      </w:r>
    </w:p>
    <w:p>
      <w:pPr>
        <w:spacing w:after="0" w:line="225" w:lineRule="exact"/>
        <w:rPr>
          <w:sz w:val="20"/>
          <w:szCs w:val="20"/>
          <w:color w:val="auto"/>
        </w:rPr>
      </w:pPr>
    </w:p>
    <w:p>
      <w:pPr>
        <w:jc w:val="both"/>
        <w:ind w:left="1260" w:right="6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share price of our Class B common stock may be volatile, and you may be unable to sell your shares at or above the offering price, if at all. Market volatility may affect the value of an investment in our Class B common stock and could subject us to litigation.</w:t>
      </w:r>
    </w:p>
    <w:p>
      <w:pPr>
        <w:spacing w:after="0" w:line="10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no public market for our Class B common stock prior to this offering. The initial public offering price for the shares of our Class B common stock will be determined through negotiations between us and representatives of the</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50" w:lineRule="auto"/>
        <w:rPr>
          <w:sz w:val="20"/>
          <w:szCs w:val="20"/>
          <w:color w:val="auto"/>
        </w:rPr>
      </w:pPr>
      <w:r>
        <w:rPr>
          <w:rFonts w:ascii="Times New Roman" w:cs="Times New Roman" w:eastAsia="Times New Roman" w:hAnsi="Times New Roman"/>
          <w:sz w:val="18"/>
          <w:szCs w:val="18"/>
          <w:color w:val="auto"/>
        </w:rPr>
        <w:t>underwriters and may not be indicative of prices that will prevail in the trading market. The market price of our Class B common stock could be subject to wide fluctuations in response to the risk factors listed in this prospectus, and others beyond our control, including:</w:t>
      </w:r>
    </w:p>
    <w:p>
      <w:pPr>
        <w:spacing w:after="0" w:line="69" w:lineRule="exact"/>
        <w:rPr>
          <w:sz w:val="20"/>
          <w:szCs w:val="20"/>
          <w:color w:val="auto"/>
        </w:rPr>
      </w:pPr>
    </w:p>
    <w:p>
      <w:pPr>
        <w:ind w:left="1800" w:right="9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B common stock publicly owned and available for trading (our “public float”);</w:t>
      </w:r>
    </w:p>
    <w:p>
      <w:pPr>
        <w:spacing w:after="0" w:line="40" w:lineRule="exact"/>
        <w:rPr>
          <w:rFonts w:ascii="Times New Roman" w:cs="Times New Roman" w:eastAsia="Times New Roman" w:hAnsi="Times New Roman"/>
          <w:sz w:val="18"/>
          <w:szCs w:val="18"/>
          <w:color w:val="auto"/>
        </w:rPr>
      </w:pPr>
    </w:p>
    <w:p>
      <w:pPr>
        <w:ind w:left="1800" w:right="679" w:hanging="178"/>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following this offering whose trading or lack of trading could result in a volatile market price for our Class B common stock, uncertain trading volume, negative pricing pressure on the price of our Class B common stock and an adverse impact on your ability to sell any Class B common stock that you may purchase;</w:t>
      </w:r>
    </w:p>
    <w:p>
      <w:pPr>
        <w:spacing w:after="0" w:line="71"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concentration of the ownership of our Class B common stock by a limited number of affiliated stockholders;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and/or publicly-listed technology companies;</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and other non-GAAP metrics;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performance and the operating performance of our competitors;</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projected operational and financial results we provide to the public or our failure to meet those projections;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accounts;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software solutions or business;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spacing w:after="0" w:line="11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53" w:lineRule="exact"/>
        <w:rPr>
          <w:rFonts w:ascii="Times New Roman" w:cs="Times New Roman" w:eastAsia="Times New Roman" w:hAnsi="Times New Roman"/>
          <w:sz w:val="18"/>
          <w:szCs w:val="18"/>
          <w:color w:val="auto"/>
        </w:rPr>
      </w:pPr>
    </w:p>
    <w:p>
      <w:pPr>
        <w:ind w:left="1800" w:right="125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management, or key personnel, including Barry J. Bentley, Gregory S. Bentley, Keith A. Bentley or Raymond B. Bentley in particular;</w:t>
      </w:r>
    </w:p>
    <w:p>
      <w:pPr>
        <w:spacing w:after="0" w:line="53"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 or our failure to meet the estimates or the expectations of investors;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expected sales of our Class B common stock by us, and our officers, directors, and principal stockholders;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contractual lock-up periods;</w:t>
      </w:r>
    </w:p>
    <w:p>
      <w:pPr>
        <w:spacing w:after="0" w:line="117"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impending presidential election in the United States in 2020;</w:t>
      </w:r>
    </w:p>
    <w:p>
      <w:pPr>
        <w:spacing w:after="0" w:line="53" w:lineRule="exact"/>
        <w:rPr>
          <w:rFonts w:ascii="Times New Roman" w:cs="Times New Roman" w:eastAsia="Times New Roman" w:hAnsi="Times New Roman"/>
          <w:sz w:val="18"/>
          <w:szCs w:val="18"/>
          <w:color w:val="auto"/>
        </w:rPr>
      </w:pPr>
    </w:p>
    <w:p>
      <w:pPr>
        <w:ind w:left="1800" w:right="819" w:hanging="178"/>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data privacy and cyber security in the United States or globally; and</w:t>
      </w:r>
    </w:p>
    <w:p>
      <w:pPr>
        <w:spacing w:after="0" w:line="281"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pandemics, or responses to these events.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Furthermore, the stock markets recently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B common stock. If the market price of our Class B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365" w:lineRule="exact"/>
        <w:rPr>
          <w:sz w:val="20"/>
          <w:szCs w:val="20"/>
          <w:color w:val="auto"/>
        </w:rPr>
      </w:pPr>
    </w:p>
    <w:p>
      <w:pPr>
        <w:ind w:left="1260" w:right="6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There has been no public market for our Class B common stock prior to this offering, and you may not be able to resell our shares at or above the price you paid, or at all. In addition, the limited public float of our Class B common stock following this offering could adversely impact the trading price of our Class B common stock.</w:t>
      </w:r>
    </w:p>
    <w:p>
      <w:pPr>
        <w:spacing w:after="0" w:line="77"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capital stock. We have applied to list our Class B common stock on The Nasdaq Global Select Market. However, we can give no assurances that The Nasdaq Global Select Market will grant our application for listing. If an active trading market for our Class B common stock does not develop after this offering, the market price and liquidity of our common stock will be materially and adversely affected. The initial public offering price for our Class B common stock will be determined by negotiations between us and the underwriters and may bear no relationship to the market price for our Class B common stock after this offering. The market price of our Class B common stock may decline below the initial public offering price.</w:t>
      </w:r>
    </w:p>
    <w:p>
      <w:pPr>
        <w:spacing w:after="0" w:line="12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In addition, the number of shares of our Class B common stock sold in this offering is relatively small compared to the total number of our outstanding shares of common stock, which will result in a limited number of shares of our Class B common stock publicly owned and available for trading, or a limited “public float.” The limited “public float” of our Class B common stock following this offering could result in a limited number of shares that are available to be traded at any given time, thereby adversely impacting the liquidity, trading volume and trading price of our Class B common stock. These factors could have an adverse impact on your ability to sell any Class B common stock that you may purchase.</w:t>
      </w:r>
    </w:p>
    <w:p>
      <w:pPr>
        <w:spacing w:after="0" w:line="117"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Further, 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 If one or more funds affiliated with Capital Research Global Investors are allocated all or a portion of the shares in which it has indicated an interest in this offering, and purchase any such shares, such purchase could further reduce the available “public float” of our Class B common stock if such entities hold these shares long term.</w:t>
      </w:r>
    </w:p>
    <w:p>
      <w:pPr>
        <w:spacing w:after="0" w:line="109"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we intend to evaluate opportunities to undertake a primary offering of shares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There is no guarantee that we will undertake such an offering or that such an offering will be consummated within the anticipated timeframe. If we do not, or are otherwise unable to, complete such an offering, the continued limited public float for our Class B common stock could result in negative pricing pressure on, and increase volatility of, the trading price for our Class B common stock. In addition, if we issue shares of capital stock in a public offering following this offering, Siemens has the right to purchase, for the price per share used in such public offering, additional shares as are necessary so</w:t>
      </w: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that Siemens’ percentage ownership on a fully diluted basis at the time of such public offering, is unchanged as a result of such public offering. See “Certain Relationships and Related Party Transactions — Our Relationship with Siemens AG — Common Stock Purchase Agreement — Rights in a Public Offering.”</w:t>
      </w:r>
    </w:p>
    <w:p>
      <w:pPr>
        <w:spacing w:after="0" w:line="173" w:lineRule="exact"/>
        <w:rPr>
          <w:sz w:val="20"/>
          <w:szCs w:val="20"/>
          <w:color w:val="auto"/>
        </w:rPr>
      </w:pPr>
    </w:p>
    <w:p>
      <w:pPr>
        <w:jc w:val="both"/>
        <w:ind w:left="1260" w:right="9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or if our actual results differ significantly from our guidance, our stock price and trading volume could decline.</w:t>
      </w:r>
    </w:p>
    <w:p>
      <w:pPr>
        <w:spacing w:after="0" w:line="95"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If few securities analysts commence coverage of us, or if industry analysts cease coverage of us, the trading price for our Class B common stock could be negatively affected. If one or more of the analysts who cover us downgrade our Class B common stock or publish inaccurate or unfavorable research about our business, the price of our Class B common stock would likely decline. If one or more of these analysts cease coverage of us or fail to publish reports on us regularly, demand for our Class B common stock could decrease, which might cause our Class B common stock price and trading volume to decline.</w:t>
      </w:r>
    </w:p>
    <w:p>
      <w:pPr>
        <w:spacing w:after="0" w:line="183" w:lineRule="exact"/>
        <w:rPr>
          <w:sz w:val="20"/>
          <w:szCs w:val="20"/>
          <w:color w:val="auto"/>
        </w:rPr>
      </w:pPr>
    </w:p>
    <w:p>
      <w:pPr>
        <w:ind w:left="1260" w:right="9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have paid dividends in periods preceding this offering, there can be no assurance that we will pay dividends on our Class B common stock in the future. As a result, any return on investment may be limited to the value of our Class B common stock.</w:t>
      </w:r>
    </w:p>
    <w:p>
      <w:pPr>
        <w:spacing w:after="0" w:line="10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2019, we paid quarterly dividends of $ 0.025 per share of common stock, and in the first two quarters of 2020, we paid quarterly dividends of $ 0.03 per share of common stock. While we intend to continue paying quarterly dividends following the consummation of this offering, there can be no assurance that we will pay such dividends in the amounts described herein or at all in the future. Any determination to pay dividends in the future will be at the discretion of our board of directors. The payment of dividends on our Class B common stock is restricted by Delaware law and the agreement governing the Credit Facility, and will, in all cases, depend on our earnings, financial condition, and other business and economic factors as our board of directors may consider relevant. If we do not pay dividends in future periods, our Class B common stock may be less valuable to you as an investor and investors must rely on sales of their Class B common stock after price appreciation, which may never occur, as the only way to realize any future gains on their investments. See the section titled “Dividend Policy” for more information.</w:t>
      </w:r>
    </w:p>
    <w:p>
      <w:pPr>
        <w:spacing w:after="0" w:line="182" w:lineRule="exact"/>
        <w:rPr>
          <w:sz w:val="20"/>
          <w:szCs w:val="20"/>
          <w:color w:val="auto"/>
        </w:rPr>
      </w:pPr>
    </w:p>
    <w:p>
      <w:pPr>
        <w:jc w:val="both"/>
        <w:ind w:left="1260" w:right="9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blocks of our total outstanding shares may be sold into the market when the lock-up period ends. If there are substantial sales of shares of our Class B common stock, the price of our Class B common stock could decline.</w:t>
      </w:r>
    </w:p>
    <w:p>
      <w:pPr>
        <w:spacing w:after="0" w:line="10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price of our Class B common stock could decline if there are substantial sales of our Class B common stock, particularly sales by our directors, executive officers, the selling stockholders, and other significant stockholders, if there is a perception that sales might occur or if there is a large number of shares of our Class B common stock available for sale. After this offering and after giving effect to 994,912 total shares of restricted Class B common stock and restricted stock units issued in July 2020 that will vest automatically upon the consummation of this offering, reduced by 32,238 of such restricted stock units that will be settled in cash, 1.025,461 shares of Class B common stock to be sold in this offering following the exercise of stock options for such shares and 37,237 vested shares of restricted Class B common stock and restricted stock units issued in July 2020, we will have outstanding 249,632,970 shares of our Class B common stock and 11,601,757 shares of our Class A common stock based on shares outstanding as of June 30, 2020. All of the shares of Class B common stock sold in this offering will be freely tradeable without restrictions or further registration under the Securities Act, except for any shares held by our affiliates as defined in Rule 144 under the Securities Act. A substantial portion of our shares of Class B common stock and Class A common stock, other than shares of Class B common stock issued in this offering, are subject to restrictions on resale because our directors, officers, the selling stockholders, and certain other stockholders have entered into lock-up agreements with the representatives of the underwriters. These shares will become available to be sold 181 days after the date of this prospectus, with earlier sales permitted at the discretion of Goldman Sachs. The lock-up restrictions in the lock-up agreements are more fully described in the sections titled “Shares Eligible for Future Sale” and “Underwriting.” Shares held by directors, executive officers, and other affiliates will be subject to volume limitations under Rule 144 under the Securities</w:t>
      </w: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39" w:lineRule="auto"/>
        <w:rPr>
          <w:sz w:val="20"/>
          <w:szCs w:val="20"/>
          <w:color w:val="auto"/>
        </w:rPr>
      </w:pPr>
      <w:r>
        <w:rPr>
          <w:rFonts w:ascii="Times New Roman" w:cs="Times New Roman" w:eastAsia="Times New Roman" w:hAnsi="Times New Roman"/>
          <w:sz w:val="18"/>
          <w:szCs w:val="18"/>
          <w:color w:val="auto"/>
        </w:rPr>
        <w:t>Act. In addition, as of the date of this prospectus, we had options outstanding for 14,504,723 shares that are not being sold in this offering that, if fully exercised, would result in the issuance of shares of Class B common stock. The shares of Class B common stock subject to outstanding options under our equity incentive plans and the shares reserved for future issuance under our equity incentive plans may become eligible for sale to the public, subject to certain legal and contractual limitations. The market price of the shares of our Class B common stock could decline as a result of the sale of a substantial number of our shares of common stock in the public market or the perception in the market that the holders of a large number of shares intend to sell their shares.</w:t>
      </w:r>
    </w:p>
    <w:p>
      <w:pPr>
        <w:spacing w:after="0" w:line="183" w:lineRule="exact"/>
        <w:rPr>
          <w:sz w:val="20"/>
          <w:szCs w:val="20"/>
          <w:color w:val="auto"/>
        </w:rPr>
      </w:pPr>
    </w:p>
    <w:p>
      <w:pPr>
        <w:ind w:left="1260" w:right="1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Bentley Control Group.</w:t>
      </w:r>
    </w:p>
    <w:p>
      <w:pPr>
        <w:spacing w:after="0" w:line="7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Upon the completion of this offering, our Class A common stock will have 29 votes per share, and our Class B common stock, which is the stock we are selling in this offering, will have one vote per share. The beneficial owners of our Class A common stock will together hold approximately 57.4% of the voting power of our outstanding capital stock following this offering. Moreover, as a result of the 29 to one voting ratio between our Class A and Class B common stock, the Bentley Control Group will control a majority of the combined voting power of our common stock and therefore be able to control all matters submitted to our stockholders for approval, subject to the occurrence of certain events that would reduce the voting power of our Class A common stock or cause the conversion thereof. See the section titled “Description of Capital Stock.” This concentrated control will limit or preclude your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yours and may vote in a way with which you disagree and which may be adverse to your interests. Furthermore, upon the consummation of this offering, certain members of the Bentley Control Group will be subject to a stockholders agreement, whereby the parties thereto agree to vote all their shares in an agreed upon manner. See the section titled “Certain Relationships and Related Party Transactions — Stockholders Agreement.”</w:t>
      </w:r>
    </w:p>
    <w:p>
      <w:pPr>
        <w:spacing w:after="0" w:line="275"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In addition, we expect to be a “controlled company” for the purposes of Nasdaq Listing Rules, which will provide us with exemptions from certain of the corporate governance standards imposed by the rules of The Nasdaq Global Select Market. These provisions will further allow the Bentley Control Group to exercise significant control over our corporate decisions and limit the ability of the public stockholders to influence our decision making. See “— We will be a ‘controlled company’ within the meaning of the Nasdaq Listing Rules and, as a result, will be exempt from certain corporate governance requirements.”</w:t>
      </w:r>
    </w:p>
    <w:p>
      <w:pPr>
        <w:spacing w:after="0" w:line="11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Future transfers by holders of Class A common stock will generally result in those shares converting to Class B common stock, subject to limited exceptions, including certain transfers to family members and transfers effected for estate planning purposes. The conversion of Class A common stock to Class B common stock will have the effect, over time, of increasing the relative voting power of those holders of Class A common stock who retain their shares in the long term. As directors and executive officers, Barry J. Bentley, Gregory S. Bentley, Keith A. Bentley and Raymond B. Bentley owe a fiduciary duty to our stockholders and must act in good faith in a manner they reasonably believe to be in the best interests of our stockholders. As stockholders, however, each of Barry J. Bentley, Gregory S. Bentley, Keith A. Bentley and Raymond B. Bentley is entitled to vote his shares in his own interests, which may not always be in the interests of our stockholders generally. For a description of the dual class structure, see the section titled “Description of Capital Stock.”</w:t>
      </w:r>
    </w:p>
    <w:p>
      <w:pPr>
        <w:spacing w:after="0" w:line="293"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A common stock following this offering, any future issuances of Class A common stock would be dilutive to holders of Class B common stock.</w:t>
      </w:r>
    </w:p>
    <w:p>
      <w:pPr>
        <w:spacing w:after="0" w:line="381"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Siemens will not pursue contractual claims challenging the voting power of our Class A common stock.</w:t>
      </w:r>
    </w:p>
    <w:p>
      <w:pPr>
        <w:spacing w:after="0" w:line="9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Common Stock Purchase Agreement with Siemens provides that upon our initial public offering, our certificate of incorporation shall reflect a voting structure consistent with that described in a previously</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contemplated offering, immediately prior to which we would have had 11,601,757 shares of Class A common stock, each with 15 votes, and 108,308,714 shares of Class B common stock, each with one vote. The Common Stock Purchase Agreement provides that we will not deviate from such structure in any manner adverse to Siemens in any material respect in its capacity as a holder of our Class B common stock without Siemens’ prior written consent, which may not be unreasonably withheld, conditioned or delayed. On May 1, 2018, we paid a dividend to all stockholders that had the economic effect of a 2-for-1 stock split, in which one share of Class B common stock was issued in respect of each outstanding share of our Class A common stock and Class B common stock (the “Split”). The Split did not impact the number of outstanding shares of Class A common stock, but increased the number of outstanding shares of Class B common stock to two times the number of pre -Split Class B shares plus the number of outstanding shares of Class A common stock. As a result and in connection with this offering where the Class B shares will first obtain voting power, we determined it was necessary to make a corresponding adjustment to the voting power of Class A common stock to 29 votes per share in order to preserve the voting structure contemplated by the Common Stock Purchase Agreement and avoid dilution of the voting power of the Class A common stock. Siemens has asserted that the Class A common stock should have 15 votes per share, notwithstanding the impact of the Split on our capital structure and the fact that this would result in a significant decrease, solely as a result of the Split, in the voting power of the holders of our Class A common stock contemplated in the Common Stock Purchase Agreement. We believe the adjustment of the voting ratio is consistent with the terms of the Common Stock Purchase Agreement, and that Siemens’ assertions are without merit; however, any claims or proceedings that Siemens may bring against us, regardless of whether meritorious, could be time consuming, may result in costly litigation, the outcome of which is uncertain, and could require significant amounts of management time, result in the diversion of significant resources, any of which could harm our business, financial condition, and results of operations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effect our dual class structure may have on the market price of our Class B common stock.</w:t>
      </w:r>
    </w:p>
    <w:p>
      <w:pPr>
        <w:spacing w:after="0" w:line="14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B common stock, in adverse publicity, or other adverse consequences. For example, certain index providers have announced restrictions on including companies with multiple-class share structures in certain of their indices. In July 2017, FTSE Russell (whose indices include the Russell 2000) announced that it plans to require new constituents of its indices to have greater than 5% of the company’s voting rights in the hands of public stockholders, and S&amp;P Dow Jones announced that it will no longer admit companies with multiple -class share structures to certain of its indices. Affected indices include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B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B common stock less attractive to other investors. As a result, the market price of our Class B common stock could be adversely affected.</w:t>
      </w:r>
    </w:p>
    <w:p>
      <w:pPr>
        <w:spacing w:after="0" w:line="316"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Nasdaq Listing Rules and, as a result, will be exempt from certain corporate governance requirements.</w:t>
      </w:r>
    </w:p>
    <w:p>
      <w:pPr>
        <w:spacing w:after="0" w:line="9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Upon the completion of this offering, the Bentley Control Group will hold capital stock representing a majority of our outstanding voting power. So long as the Bentley Control Group maintains holdings of more than 50% of the voting power of our capital stock for the election of directors, we will be a “controlled</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45" w:lineRule="auto"/>
        <w:rPr>
          <w:sz w:val="20"/>
          <w:szCs w:val="20"/>
          <w:color w:val="auto"/>
        </w:rPr>
      </w:pPr>
      <w:r>
        <w:rPr>
          <w:rFonts w:ascii="Times New Roman" w:cs="Times New Roman" w:eastAsia="Times New Roman" w:hAnsi="Times New Roman"/>
          <w:sz w:val="18"/>
          <w:szCs w:val="18"/>
          <w:color w:val="auto"/>
        </w:rPr>
        <w:t>company” within the meaning of the Nasdaq Listing Rules and Nasdaq corporate governance standards. Under these standards, a listed company of which more than 50% of the voting power is held by an individual, group or another company is a “controlled company” and may elect not to comply with certain Nasdaq corporate governance requirements, including:</w:t>
      </w:r>
    </w:p>
    <w:p>
      <w:pPr>
        <w:spacing w:after="0" w:line="73" w:lineRule="exact"/>
        <w:rPr>
          <w:sz w:val="20"/>
          <w:szCs w:val="20"/>
          <w:color w:val="auto"/>
        </w:rPr>
      </w:pPr>
    </w:p>
    <w:p>
      <w:pPr>
        <w:ind w:left="1800" w:right="12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Nasdaq rules;</w:t>
      </w:r>
    </w:p>
    <w:p>
      <w:pPr>
        <w:spacing w:after="0" w:line="40"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800" w:right="959" w:hanging="178"/>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or otherwise have director nominees selected by vote of a majority of the independent directors.</w:t>
      </w:r>
    </w:p>
    <w:p>
      <w:pPr>
        <w:spacing w:after="0" w:line="112"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We intend to use these exemptions following this offering. As a result, we will not have a majority of independent directors on our board of directors. Additionally, following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w:t>
      </w:r>
    </w:p>
    <w:p>
      <w:pPr>
        <w:spacing w:after="0" w:line="116"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Even as a controlled company, we will remain subject to the rules of Sarbanes-Oxley as well as the rules of the Nasdaq Listing Rules that require us to have an audit committee composed entirely of independent directors, subject to permitted phase-in rules. Under these phase-in rules, we are required to have one independent audit committee member upon the listing date of our Class B common stock, a majority of independent audit committee members within 90 days from the listing date and all independent audit committee members within one year from the listing date. Upon our listing, we expect that our audit committee will be comprised of three members, two of whom will be independent.</w:t>
      </w:r>
    </w:p>
    <w:p>
      <w:pPr>
        <w:spacing w:after="0" w:line="104"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If we are no longer eligible to rely on the “controlled company” exceptions, we will need to comply with all applicable Nasdaq corporate governance requirements, but we will be able to rely on phase- 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81"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B common stock.</w:t>
      </w:r>
    </w:p>
    <w:p>
      <w:pPr>
        <w:spacing w:after="0" w:line="107"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800" w:right="113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800" w:right="979" w:hanging="178"/>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after such time as the Bentley Family no longer possess a majority of our outstanding voting power, any action to be taken by our stockholders be effected at a duly called annual or special meeting and not by written consent;</w:t>
      </w:r>
    </w:p>
    <w:p>
      <w:pPr>
        <w:spacing w:after="0" w:line="67" w:lineRule="exact"/>
        <w:rPr>
          <w:rFonts w:ascii="Times New Roman" w:cs="Times New Roman" w:eastAsia="Times New Roman" w:hAnsi="Times New Roman"/>
          <w:sz w:val="18"/>
          <w:szCs w:val="18"/>
          <w:color w:val="auto"/>
        </w:rPr>
      </w:pPr>
    </w:p>
    <w:p>
      <w:pPr>
        <w:jc w:val="both"/>
        <w:ind w:left="1800" w:right="979" w:hanging="178"/>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or president (in the absence of a chief executive officer);</w:t>
      </w:r>
    </w:p>
    <w:p>
      <w:pPr>
        <w:spacing w:after="0" w:line="6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800" w:right="129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05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two classes of common stock, as discussed in the section titled “Description of Capital Stock.”</w:t>
      </w:r>
    </w:p>
    <w:p>
      <w:pPr>
        <w:spacing w:after="0" w:line="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intend to opt out of Section 203 of the Delaware General Corporation Law (the “DGCL”), which generally prohibits a Delaware corporation from engaging in any of a broad range of business combinations with a stockholder owning 15% or more of our outstanding voting stock, unless the stockholder has held the stock for a period of at least three years or, among other things, the board of directors has approved the transaction that resulted in the stockholder owning 15% or more of our outstanding voting stock. However, our amended and restated certificate of incorporation will provide that, subject to certain exceptions (including with respect to certain transactions with the Bentley Family),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See the section titled “Description of Capital Stock — Anti-Takeover Provisions.”</w:t>
      </w:r>
    </w:p>
    <w:p>
      <w:pPr>
        <w:spacing w:after="0" w:line="356" w:lineRule="exact"/>
        <w:rPr>
          <w:sz w:val="20"/>
          <w:szCs w:val="20"/>
          <w:color w:val="auto"/>
        </w:rPr>
      </w:pPr>
    </w:p>
    <w:p>
      <w:pPr>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67" w:lineRule="exact"/>
        <w:rPr>
          <w:sz w:val="20"/>
          <w:szCs w:val="20"/>
          <w:color w:val="auto"/>
        </w:rPr>
      </w:pPr>
    </w:p>
    <w:p>
      <w:pPr>
        <w:ind w:left="1260" w:right="679" w:firstLine="360"/>
        <w:spacing w:after="0" w:line="23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the DGCL, our amended and restated certificate of incorporation or amended and restated by 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4"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dilution of the percentage ownership of our stockholders and could cause our stock price to decline.</w:t>
      </w:r>
    </w:p>
    <w:p>
      <w:pPr>
        <w:spacing w:after="0" w:line="90"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We may issue additional securities following the completion of this offering. Upon the completion of this offering, our amended and restated certificate of incorporation will authorize us to issue up to 1,800,000,000 shares of Class B common stock and up to 100,000,000 shares of preferred stock. Future sales and issuances of our capital stock or rights to purchase our capital stock could result in substantial dilution to our existing stockholders. We may sell Class B common stock, preferred stock, convertible securities, and other equity securities in one or more transactions at prices and in a manner as we may determine from time to time. If we sell any such securities in subsequent transactions, investors may be materially diluted and the per share value of our Class B common stock could decline. New investors in subsequent transactions could gain rights, preferences, and privileges senior to those of holders of our Class B common stock.</w:t>
      </w:r>
    </w:p>
    <w:p>
      <w:pPr>
        <w:spacing w:after="0" w:line="374" w:lineRule="exact"/>
        <w:rPr>
          <w:sz w:val="20"/>
          <w:szCs w:val="20"/>
          <w:color w:val="auto"/>
        </w:rPr>
      </w:pPr>
    </w:p>
    <w:p>
      <w:pPr>
        <w:ind w:left="1260" w:right="9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7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For example, we will be subject to the reporting requirements of the Exchange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Act, and will be required to comply with the applicable requirements of the Sarbanes-Oxley Act and the Dodd-Frank Act, as well as rules and regulations subsequently implemented by the SEC and the Nasdaq,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results of operations. We expect to incur significant expenses and devote substantial management effort toward ensuring compliance with the auditor attestation requirements of Section 404 of the Sarbanes-Oxley Act, which will increase when we are no longer an “emerging growth company,” as defined by the JOBS Act.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 As a result, management’s attention may be diverted from other business concerns, which could adversely affect our business and results of operations.</w:t>
      </w:r>
    </w:p>
    <w:p>
      <w:pPr>
        <w:spacing w:after="0" w:line="279"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These factors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 -generating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could be adversely affected.</w:t>
      </w:r>
    </w:p>
    <w:p>
      <w:pPr>
        <w:spacing w:after="0" w:line="29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a result of disclosure of information as a public company, our business and financial condition have become more visible, which may result in threatened or actual litigation, including by competitors and other third parties. If the claims are successful, our business operations and financial results could be adversely affected, and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17"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 and officer liability insurance on the terms that we would like. As a result, it may be more difficult for us to attract and retain qualified people to serve on our board of directors, our board committees or as executive officers.</w:t>
      </w:r>
    </w:p>
    <w:p>
      <w:pPr>
        <w:spacing w:after="0" w:line="177" w:lineRule="exact"/>
        <w:rPr>
          <w:sz w:val="20"/>
          <w:szCs w:val="20"/>
          <w:color w:val="auto"/>
        </w:rPr>
      </w:pPr>
    </w:p>
    <w:p>
      <w:pPr>
        <w:ind w:left="1260" w:right="87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harm our business and stock price.</w:t>
      </w:r>
    </w:p>
    <w:p>
      <w:pPr>
        <w:spacing w:after="0" w:line="7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As a privately held company, we have not been required to maintain internal control over financial reporting in a manner that meets the standards of publicly traded companies as required by Section 404(a) of the Sarbanes -Oxley Act (“Section 404(a)”) . As a public company, we will be required to provide an annual management report on the effectiveness of our internal control over financial reporting commencing with our second annual report on Form 10-K. Additionally,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w:t>
      </w:r>
    </w:p>
    <w:p>
      <w:pPr>
        <w:spacing w:after="0" w:line="124"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in accordance with U.S. GAAP. We are currently in the process of reviewing, documenting and testing our internal control over</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4" w:lineRule="auto"/>
        <w:rPr>
          <w:sz w:val="20"/>
          <w:szCs w:val="20"/>
          <w:color w:val="auto"/>
        </w:rPr>
      </w:pPr>
      <w:r>
        <w:rPr>
          <w:rFonts w:ascii="Times New Roman" w:cs="Times New Roman" w:eastAsia="Times New Roman" w:hAnsi="Times New Roman"/>
          <w:sz w:val="18"/>
          <w:szCs w:val="18"/>
          <w:color w:val="auto"/>
        </w:rPr>
        <w:t>financial reporting, but we are not currently in compliance with, and we cannot be certain when we will be able to implement the requirements of, Section 404(a). We may encounter problems or delays in implementing any changes necessary to make a favorable assessment of our internal control over financial reporting. In addition, we may encounter problems or delays in completing the implementation of any requested improvements and receiving a favorable attestation in connection with the attestation provided by our independent registered public accounting firm. If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price of our Class B common stock could decline.</w:t>
      </w:r>
    </w:p>
    <w:p>
      <w:pPr>
        <w:spacing w:after="0" w:line="107"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financial condition, and results of operations, and could cause a decline in the price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This prospectus includes forward-looking statements. All statements contained in this prospectus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 looking statements. The forward-looking statements, as well as our prospects as a whole, are subject to risks and uncertainties, including the following:</w:t>
      </w:r>
    </w:p>
    <w:p>
      <w:pPr>
        <w:spacing w:after="0" w:line="234" w:lineRule="exact"/>
        <w:rPr>
          <w:sz w:val="20"/>
          <w:szCs w:val="20"/>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market, political, economic and business conditions;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our business model and revenue streams;</w:t>
      </w:r>
    </w:p>
    <w:p>
      <w:pPr>
        <w:spacing w:after="0" w:line="103"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changes in foreign exchange rates and interest rates and the success of our foreign currency hedging program;</w:t>
      </w:r>
    </w:p>
    <w:p>
      <w:pPr>
        <w:spacing w:after="0" w:line="53"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future software solutions and services and for enhancements of existing software solutions and services;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fully comply with data protection and privacy laws;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revenues and profitability;</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expenses, including research and development, sales and marketing and general and administrative expenses;</w:t>
      </w:r>
    </w:p>
    <w:p>
      <w:pPr>
        <w:spacing w:after="0" w:line="53"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governments in jurisdictions where we do business to meet their financial and debt obligations and finance infrastructure projects;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global coronavirus outbreak;</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net proceeds from this offering;</w:t>
      </w:r>
    </w:p>
    <w:p>
      <w:pPr>
        <w:spacing w:after="0" w:line="117"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our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accounts and colleagues;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ineffective implementation or upgrades;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changes in our industry and relevant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revenues and anticipated revenues;</w:t>
      </w:r>
    </w:p>
    <w:p>
      <w:pPr>
        <w:spacing w:after="0" w:line="11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sanctions and export control laws on our ability to operate in certain geographical locations;</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existing tax laws;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phase-out of LIBOR;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standards;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difficulties encountered in integrating acquisitions;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limited “public float” on the liquidity and price of our Class B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44" w:lineRule="exact"/>
        <w:rPr>
          <w:sz w:val="20"/>
          <w:szCs w:val="20"/>
          <w:color w:val="auto"/>
        </w:rPr>
      </w:pPr>
    </w:p>
    <w:p>
      <w:pPr>
        <w:ind w:left="1260" w:right="1059" w:firstLine="360"/>
        <w:spacing w:after="0" w:line="256"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in the section titled “Risk Factors” and elsewhere in this prospectus. You should not rely upon forward-looking statements as predictions of future events.</w:t>
      </w:r>
    </w:p>
    <w:p>
      <w:pPr>
        <w:spacing w:after="0" w:line="120"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achievements, events, or circumstances reflected in the forward-looking statements will occur. Except as required by law, we undertake no obligation to update any of these forward-looking statements after the date of this prospectus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contained throughout this prospectus from our own internal estimates and research as well as from industry publications and studies conducted by third parties. This information involves a number of assumptions and limitations, and you are cautioned not to give undue weight to these estimates. The industry publications and third-party studies generally state that the information that they contain has been obtained from sources believed to be reliable, although they do not guarantee the accuracy or completeness of such information. While we believe that these publications and third-party studies and our internal data are reliable as of their respective dates,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w:t>
      </w:r>
    </w:p>
    <w:p>
      <w:pPr>
        <w:spacing w:after="0" w:line="127"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4" w:lineRule="exact"/>
        <w:rPr>
          <w:sz w:val="20"/>
          <w:szCs w:val="20"/>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performed by ARC Advisory Group; and</w:t>
      </w:r>
    </w:p>
    <w:p>
      <w:pPr>
        <w:spacing w:after="0" w:line="117"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market study conducted by Cambashi, which was commissioned by us. Cambashi has consented to the references to its study and the use of its name in this prospectus and publicly-available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our Class B common stock in this offering. We will not receive any proceeds from the sale of shares by the selling stockholders. The selling stockholders will not be responsible for any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$0.02 per share of common stock in 2018, quarterly dividends of $0.025 per share of common stock in 2019, and quarterly dividends of $0.03 per share of common stock in the first three quarters of 2020. In addition, we paid the Special Dividend of $1.50 per share of common stock on September 2, 2020.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 See the section titled “Management’s Discussion and Analysis of Financial Conditions and Results of Operations — Liquidity and Capital Resources” for a summary of the material terms of the agreement governing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2020 on:</w:t>
      </w:r>
    </w:p>
    <w:p>
      <w:pPr>
        <w:spacing w:after="0" w:line="131" w:lineRule="exact"/>
        <w:rPr>
          <w:sz w:val="20"/>
          <w:szCs w:val="20"/>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17" w:lineRule="exact"/>
        <w:rPr>
          <w:rFonts w:ascii="Times New Roman" w:cs="Times New Roman" w:eastAsia="Times New Roman" w:hAnsi="Times New Roman"/>
          <w:sz w:val="18"/>
          <w:szCs w:val="18"/>
          <w:color w:val="auto"/>
        </w:rPr>
      </w:pPr>
    </w:p>
    <w:p>
      <w:pPr>
        <w:ind w:left="1800" w:right="1400" w:hanging="178"/>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800" w:right="1420" w:hanging="178"/>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Special Dividend and the funding of such Special Dividend as described in the immediately preceding bullet and to further (i) give effect to</w:t>
      </w:r>
    </w:p>
    <w:p>
      <w:pPr>
        <w:ind w:left="1800" w:right="12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994,912 total shares of restricted Class B common stock and restricted stock units issued in July 2020 that will vest automatically upon the consummation of this offering, reduced by 32,238 of such restricted stock units that will be settled in cash, (B) approximately $11.7 million in additional stock-based compensation expense, net of tax, in connection with such July 2020 grant (excluding restricted stock units that will settle in cash), (C) 1,025,461 shares of Class B common stock to be sold in this offering following the exercise of stock options for such shares, at a weighted average exercise price of $4.46, after giving effect to a $1.50 reduction of the exercise price of all outstanding options as a result of the Special Dividend, as if such exercise had occurred on June 30, 2020 and (D) approximately $0.5 million in additional stock-based compensation expense, net of tax, in connection with 37,237 vested shares of restricted Class B common stock and restricted stock units issued in July 2020, (ii) reflect expenses of $19.5 million, net of tax, in connection with this offering by the Company, including those paid on behalf of the selling stockholders and the underwriting discounts and commissions based on an assumed initial public offering price of the Class B common stock of $20.00 per share, the midpoint of the range set forth on the cover page of this prospectus,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pacing w:after="0" w:line="122" w:lineRule="exact"/>
        <w:rPr>
          <w:sz w:val="20"/>
          <w:szCs w:val="20"/>
          <w:color w:val="auto"/>
        </w:rPr>
      </w:pPr>
    </w:p>
    <w:p>
      <w:pPr>
        <w:ind w:left="1260" w:right="1320"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this table is illustrative only and our capitalization following the closing of this offering will be adjusted based on the actual initial public offering price and other terms of this offering determined at pricing. 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2" w:lineRule="exact"/>
        <w:rPr>
          <w:sz w:val="20"/>
          <w:szCs w:val="20"/>
          <w:color w:val="auto"/>
        </w:rPr>
      </w:pPr>
    </w:p>
    <w:p>
      <w:pPr>
        <w:ind w:left="1260" w:right="128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the filing and effectiveness of our Charter Amendments.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As of June 30, 2020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690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12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304"/>
        </w:trPr>
        <w:tc>
          <w:tcPr>
            <w:tcW w:w="1260" w:type="dxa"/>
            <w:vAlign w:val="bottom"/>
          </w:tcPr>
          <w:p>
            <w:pPr>
              <w:spacing w:after="0"/>
              <w:rPr>
                <w:sz w:val="24"/>
                <w:szCs w:val="24"/>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$ 111,293</w:t>
            </w:r>
          </w:p>
        </w:tc>
        <w:tc>
          <w:tcPr>
            <w:tcW w:w="1240" w:type="dxa"/>
            <w:vAlign w:val="bottom"/>
          </w:tcPr>
          <w:p>
            <w:pPr>
              <w:spacing w:after="0"/>
              <w:rPr>
                <w:sz w:val="24"/>
                <w:szCs w:val="24"/>
                <w:color w:val="auto"/>
              </w:rPr>
            </w:pPr>
          </w:p>
        </w:tc>
      </w:tr>
      <w:tr>
        <w:trPr>
          <w:trHeight w:val="20"/>
        </w:trPr>
        <w:tc>
          <w:tcPr>
            <w:tcW w:w="6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690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$ 598,075</w:t>
            </w:r>
          </w:p>
        </w:tc>
        <w:tc>
          <w:tcPr>
            <w:tcW w:w="124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r>
      <w:tr>
        <w:trPr>
          <w:trHeight w:val="225"/>
        </w:trPr>
        <w:tc>
          <w:tcPr>
            <w:tcW w:w="1260" w:type="dxa"/>
            <w:vAlign w:val="bottom"/>
          </w:tcPr>
          <w:p>
            <w:pPr>
              <w:spacing w:after="0"/>
              <w:rPr>
                <w:sz w:val="19"/>
                <w:szCs w:val="19"/>
                <w:color w:val="auto"/>
              </w:rPr>
            </w:pPr>
          </w:p>
        </w:tc>
        <w:tc>
          <w:tcPr>
            <w:tcW w:w="5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$0.01 par value per share; 320,000,000</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shares authorized, 11,601,757 shares issued and outstanding,</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actual and pro forma; 100,000,000 shares authorized, 11,601,757</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1"/>
        </w:trPr>
        <w:tc>
          <w:tcPr>
            <w:tcW w:w="1260" w:type="dxa"/>
            <w:vAlign w:val="bottom"/>
          </w:tcPr>
          <w:p>
            <w:pPr>
              <w:spacing w:after="0"/>
              <w:rPr>
                <w:sz w:val="19"/>
                <w:szCs w:val="19"/>
                <w:color w:val="auto"/>
              </w:rPr>
            </w:pPr>
          </w:p>
        </w:tc>
        <w:tc>
          <w:tcPr>
            <w:tcW w:w="5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 as adjusted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tcPr>
          <w:p>
            <w:pPr>
              <w:spacing w:after="0"/>
              <w:rPr>
                <w:sz w:val="19"/>
                <w:szCs w:val="19"/>
                <w:color w:val="auto"/>
              </w:rPr>
            </w:pPr>
          </w:p>
        </w:tc>
      </w:tr>
      <w:tr>
        <w:trPr>
          <w:trHeight w:val="225"/>
        </w:trPr>
        <w:tc>
          <w:tcPr>
            <w:tcW w:w="1260" w:type="dxa"/>
            <w:vAlign w:val="bottom"/>
          </w:tcPr>
          <w:p>
            <w:pPr>
              <w:spacing w:after="0"/>
              <w:rPr>
                <w:sz w:val="19"/>
                <w:szCs w:val="19"/>
                <w:color w:val="auto"/>
              </w:rPr>
            </w:pPr>
          </w:p>
        </w:tc>
        <w:tc>
          <w:tcPr>
            <w:tcW w:w="5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 per share; 600,000,000</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shares authorized, 247,607,598 shares issued and outstanding,</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actual and pro forma; 1,800,000,000 shares authorized,</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tcPr>
          <w:p>
            <w:pPr>
              <w:spacing w:after="0"/>
              <w:rPr>
                <w:sz w:val="16"/>
                <w:szCs w:val="16"/>
                <w:color w:val="auto"/>
              </w:rPr>
            </w:pPr>
          </w:p>
        </w:tc>
      </w:tr>
      <w:tr>
        <w:trPr>
          <w:trHeight w:val="221"/>
        </w:trPr>
        <w:tc>
          <w:tcPr>
            <w:tcW w:w="1260" w:type="dxa"/>
            <w:vAlign w:val="bottom"/>
          </w:tcPr>
          <w:p>
            <w:pPr>
              <w:spacing w:after="0"/>
              <w:rPr>
                <w:sz w:val="19"/>
                <w:szCs w:val="19"/>
                <w:color w:val="auto"/>
              </w:rPr>
            </w:pPr>
          </w:p>
        </w:tc>
        <w:tc>
          <w:tcPr>
            <w:tcW w:w="5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249,632,970 shares issued and outstanding, pro forma as adjusted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4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5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435,914</w:t>
            </w:r>
          </w:p>
        </w:tc>
        <w:tc>
          <w:tcPr>
            <w:tcW w:w="124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5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(28,404)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(28,404)</w:t>
            </w: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240" w:type="dxa"/>
            <w:vAlign w:val="bottom"/>
          </w:tcPr>
          <w:p>
            <w:pPr>
              <w:spacing w:after="0"/>
              <w:rPr>
                <w:sz w:val="23"/>
                <w:szCs w:val="23"/>
                <w:color w:val="auto"/>
              </w:rPr>
            </w:pPr>
          </w:p>
        </w:tc>
      </w:tr>
      <w:tr>
        <w:trPr>
          <w:trHeight w:val="607"/>
        </w:trPr>
        <w:tc>
          <w:tcPr>
            <w:tcW w:w="66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-2579370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-2579370</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-2579370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1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19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340" w:type="dxa"/>
            <w:vAlign w:val="bottom"/>
            <w:gridSpan w:val="2"/>
            <w:shd w:val="clear" w:color="auto" w:fill="CCEEFF"/>
          </w:tcPr>
          <w:p>
            <w:pPr>
              <w:ind w:left="180"/>
              <w:spacing w:after="0" w:line="277" w:lineRule="exact"/>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6"/>
                <w:szCs w:val="26"/>
                <w:color w:val="auto"/>
                <w:vertAlign w:val="superscript"/>
              </w:rPr>
              <w:t>(1)</w:t>
            </w:r>
          </w:p>
        </w:tc>
        <w:tc>
          <w:tcPr>
            <w:tcW w:w="2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(10,327)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(403,099)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(434,716)</w:t>
            </w:r>
          </w:p>
        </w:tc>
        <w:tc>
          <w:tcPr>
            <w:tcW w:w="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2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57"/>
        </w:trPr>
        <w:tc>
          <w:tcPr>
            <w:tcW w:w="558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586,744</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$ 583,555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$ 573,481</w:t>
            </w:r>
          </w:p>
        </w:tc>
        <w:tc>
          <w:tcPr>
            <w:tcW w:w="6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-350520</wp:posOffset>
            </wp:positionV>
            <wp:extent cx="47402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-719455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-719455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-719455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719" w:hanging="358"/>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amount does not include $645 of stock-based compensation expense for 32,238 restricted stock units that will vest automatically upon the consummation of this offering and be settled in cash at the initial public offering price (using an assumed initial public offering price of $20.00 per share, the midpoint of the range set forth on the cover page of this prospectus).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otherwise indicated, the number of outstanding shares of Class B common stock on a</w:t>
      </w:r>
    </w:p>
    <w:p>
      <w:pPr>
        <w:spacing w:after="0" w:line="27"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pro forma as adjusted basis excludes, as of June 30, 2020: (i) 13,604,723 shares of Class B common stock issuable upon exercise of stock options outstanding as of the date of this prospectus that are not being sold in this offering, at a weighted average exercise price of $4.85 per share of Class B common stock, after giving effect to a $1.50 reduction of the exercise price of all outstanding options as a result of the Special Dividend; (ii) 45,151 shares of Class B common stock issuable upon the settlement of fully-vested restricted stock units outstanding as of June 30, 2020; (iii) 900,000 shares of Class B common stock issuable upon exercise of stock options outstanding as of the date of this prospectus that are not being sold in this offering and were granted in connection, with an acquisition with an exercise price of $6.81 per share and a maximum intrinsic value of $8.88 per share; (iv) 1,311,447 shares of unvested restricted Class B common stock and restricted stock units outstanding as of the date of this prospectus that will not vest upon consummation of this offering; (v) 27,941,520 shares of Class B common stock held by colleagues and directors as phantom shares under our nonqualified deferred compensation plans as of June 30, 2020, increased by 2,764,048 shares of Class B common stock as a result of the reinvestment of dividends since such date in accordance with such plans; (vi) 25,000,000 shares to be reserved for issuance under our 2020 Incentive Award Plan; and (vii) 25,000,000 shares to be reserved for issuance under our Global ESPP.</w:t>
      </w:r>
    </w:p>
    <w:p>
      <w:pPr>
        <w:spacing w:after="0" w:line="123"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as adjusted information discussed above is illustrative only and will adjust based on the actual initial public offering price and other terms of this offering determined at pricing.</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800" w:hanging="178"/>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Charter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data. The selected consolidated statement of operations data for the years ended December 31, 2018 and 2019 and the consolidated balance sheet data as of December 31, 2018 and 2019 have been derived from our audited consolidated financial statements included elsewhere in this prospectus. The selected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selected consolidated financial data in conjunction with the section titled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34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selected consolidated financial data, except share and per share amounts, are presented in thousands. Additionally, many of the amounts and percentages have been rounded for convenience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14"/>
                <w:szCs w:val="14"/>
                <w:b w:val="1"/>
                <w:bCs w:val="1"/>
                <w:color w:val="auto"/>
                <w:w w:val="90"/>
              </w:rPr>
              <w:t>Topic 605</w:t>
            </w:r>
            <w:r>
              <w:rPr>
                <w:rFonts w:ascii="Times New Roman" w:cs="Times New Roman" w:eastAsia="Times New Roman" w:hAnsi="Times New Roman"/>
                <w:sz w:val="21"/>
                <w:szCs w:val="21"/>
                <w:b w:val="1"/>
                <w:bCs w:val="1"/>
                <w:color w:val="auto"/>
                <w:w w:val="90"/>
                <w:vertAlign w:val="superscript"/>
              </w:rPr>
              <w:t>(1)</w:t>
            </w:r>
          </w:p>
        </w:tc>
        <w:tc>
          <w:tcPr>
            <w:tcW w:w="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Subscriptions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501,098</w:t>
            </w:r>
          </w:p>
        </w:tc>
        <w:tc>
          <w:tcPr>
            <w:tcW w:w="1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557,421</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613,925</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608,300</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290,147</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Perpetual licenses</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61,661</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24,468</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562,759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618,486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66,164</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628,923</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691,710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734,849</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736,654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347,144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Cost of subscriptions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53,662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55,113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71,439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licenses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services</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120,590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131,324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144,011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144,150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69,198</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508,333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560,386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151,194</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175,032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91,861</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139,259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87,467</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89,328</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46,307</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purchased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intangibles</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386,934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438,995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450,619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220,188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121,399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(10,320)</w:t>
            </w:r>
          </w:p>
        </w:tc>
        <w:tc>
          <w:tcPr>
            <w:tcW w:w="6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(8,765)</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(8,199)</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(8,199)</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(4,474)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(5,773)</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(5,557)</w:t>
            </w: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(5,557)</w:t>
            </w: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105,306</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112,862</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126,463</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128,109</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(29,250)</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joint venture, net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Less: Net income attributable to</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6"/>
                <w:szCs w:val="16"/>
                <w:color w:val="auto"/>
              </w:rPr>
              <w:t>attributable to Class A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142,108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103,418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103,088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46,406</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68,745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Class B common shares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Weighted average shares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285,805,096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284,625,642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284,625,642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285,529,476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286,068,766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outstanding, basic</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6"/>
                <w:szCs w:val="16"/>
                <w:color w:val="auto"/>
              </w:rPr>
              <w:t>Weighted average shares</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292,624,496</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293,796,707</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293,796,707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293,633,255</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295,595,234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diluted</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-2562225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-2562225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-2562225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-2562225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-2562225</wp:posOffset>
            </wp:positionV>
            <wp:extent cx="20745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-3213735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-3213735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-3213735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-3213735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-3213735</wp:posOffset>
            </wp:positionV>
            <wp:extent cx="20745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-4276725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-4276725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-4276725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-4276725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-4276725</wp:posOffset>
            </wp:positionV>
            <wp:extent cx="2074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-5031105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-5031105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-5031105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-5031105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-5031105</wp:posOffset>
            </wp:positionV>
            <wp:extent cx="2074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-6008370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-6008370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-6008370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-6008370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-6008370</wp:posOffset>
            </wp:positionV>
            <wp:extent cx="1602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-6171565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1620" w:right="679" w:hanging="358"/>
        <w:spacing w:after="0" w:line="259"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Comparison — Topic 605 versus Topic 606:</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in our consolidated financial statements included elsewhere in this prospectus has not been adjusted and continues to be reported under Topic 605.</w:t>
      </w:r>
    </w:p>
    <w:p>
      <w:pPr>
        <w:spacing w:after="0" w:line="121"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740" w:type="dxa"/>
            <w:vAlign w:val="bottom"/>
            <w:tcBorders>
              <w:top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$501,098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$613,925</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2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$628,923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$734,849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$608,300</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$621,867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$691,062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$736,654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-1130935</wp:posOffset>
            </wp:positionV>
            <wp:extent cx="43116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-1808480</wp:posOffset>
            </wp:positionV>
            <wp:extent cx="43033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620" w:right="679" w:hanging="358"/>
        <w:spacing w:after="0" w:line="259"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54" w:lineRule="exact"/>
        <w:rPr>
          <w:rFonts w:ascii="Times New Roman" w:cs="Times New Roman" w:eastAsia="Times New Roman" w:hAnsi="Times New Roman"/>
          <w:sz w:val="18"/>
          <w:szCs w:val="18"/>
          <w:color w:val="auto"/>
        </w:rPr>
      </w:pPr>
    </w:p>
    <w:p>
      <w:pPr>
        <w:ind w:left="1620" w:right="759" w:hanging="358"/>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$521,923</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$586,466</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$631,097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4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$583,402</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$636,899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$670,825</w:t>
            </w:r>
          </w:p>
        </w:tc>
        <w:tc>
          <w:tcPr>
            <w:tcW w:w="140" w:type="dxa"/>
            <w:vAlign w:val="bottom"/>
          </w:tcPr>
          <w:p>
            <w:pPr>
              <w:spacing w:after="0"/>
              <w:rPr>
                <w:sz w:val="20"/>
                <w:szCs w:val="20"/>
                <w:color w:val="auto"/>
              </w:rPr>
            </w:pP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-1397000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-1397000</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-1397000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-1397000</wp:posOffset>
            </wp:positionV>
            <wp:extent cx="30429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0"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2018, see the section titled “— Non-GAAP Financial Measures.”</w:t>
      </w:r>
    </w:p>
    <w:p>
      <w:pPr>
        <w:spacing w:after="0" w:line="12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“Management’s Discussion and Analysis of Financial Condition and Results of Operations — Key Factors Impacting Comparability and Performance.”</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96"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 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 -based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299"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104"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111"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 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 -term value of our account relationships and our ability to retain our account base. We believe that our consistent and high account retention rates illustrate our ability to retain and cultivate long-term relationships with our accounts.</w:t>
      </w:r>
    </w:p>
    <w:p>
      <w:pPr>
        <w:spacing w:after="0" w:line="12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739"/>
        <w:spacing w:after="0" w:line="232" w:lineRule="auto"/>
        <w:rPr>
          <w:sz w:val="20"/>
          <w:szCs w:val="20"/>
          <w:color w:val="auto"/>
        </w:rPr>
      </w:pPr>
      <w:r>
        <w:rPr>
          <w:rFonts w:ascii="Times New Roman" w:cs="Times New Roman" w:eastAsia="Times New Roman" w:hAnsi="Times New Roman"/>
          <w:sz w:val="18"/>
          <w:szCs w:val="18"/>
          <w:color w:val="auto"/>
        </w:rPr>
        <w:t>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91" w:lineRule="exact"/>
        <w:rPr>
          <w:sz w:val="20"/>
          <w:szCs w:val="20"/>
          <w:color w:val="auto"/>
        </w:rPr>
      </w:pPr>
    </w:p>
    <w:p>
      <w:pPr>
        <w:ind w:left="1260" w:right="799" w:firstLine="360"/>
        <w:spacing w:after="0" w:line="224" w:lineRule="auto"/>
        <w:rPr>
          <w:sz w:val="20"/>
          <w:szCs w:val="20"/>
          <w:color w:val="auto"/>
        </w:rPr>
      </w:pPr>
      <w:r>
        <w:rPr>
          <w:rFonts w:ascii="Times New Roman" w:cs="Times New Roman" w:eastAsia="Times New Roman" w:hAnsi="Times New Roman"/>
          <w:sz w:val="18"/>
          <w:szCs w:val="18"/>
          <w:color w:val="auto"/>
        </w:rPr>
        <w:t>As discussed above, we expect annual and trailing twelve- 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11" w:lineRule="exact"/>
        <w:rPr>
          <w:sz w:val="20"/>
          <w:szCs w:val="20"/>
          <w:color w:val="auto"/>
        </w:rPr>
      </w:pPr>
    </w:p>
    <w:p>
      <w:pPr>
        <w:ind w:left="1260" w:right="1259" w:firstLine="360"/>
        <w:spacing w:after="0" w:line="250"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95"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 titled “Management’s Discussion and Analysis of Financial Condition and Results of Operations — Key Business Metrics.”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5"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1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49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49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$160,886</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$186,598</w:t>
            </w:r>
          </w:p>
        </w:tc>
      </w:tr>
      <w:tr>
        <w:trPr>
          <w:trHeight w:val="257"/>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$115,389</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$135,471</w:t>
            </w:r>
          </w:p>
        </w:tc>
      </w:tr>
      <w:tr>
        <w:trPr>
          <w:trHeight w:val="270"/>
        </w:trPr>
        <w:tc>
          <w:tcPr>
            <w:tcW w:w="49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7"/>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$153,830</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$171,120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7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$109,398</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$131,697</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-1010920</wp:posOffset>
            </wp:positionV>
            <wp:extent cx="43033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679" w:hanging="358"/>
        <w:spacing w:after="0" w:line="259"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40" w:lineRule="exact"/>
        <w:rPr>
          <w:rFonts w:ascii="Times New Roman" w:cs="Times New Roman" w:eastAsia="Times New Roman" w:hAnsi="Times New Roman"/>
          <w:sz w:val="18"/>
          <w:szCs w:val="18"/>
          <w:color w:val="auto"/>
        </w:rPr>
      </w:pPr>
    </w:p>
    <w:p>
      <w:pPr>
        <w:ind w:left="1620" w:right="759" w:hanging="358"/>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5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-496570</wp:posOffset>
            </wp:positionV>
            <wp:extent cx="4251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81" w:lineRule="exact"/>
        <w:rPr>
          <w:sz w:val="20"/>
          <w:szCs w:val="20"/>
          <w:color w:val="auto"/>
        </w:rPr>
      </w:pPr>
    </w:p>
    <w:p>
      <w:pPr>
        <w:ind w:left="1260" w:right="9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define Adjusted EBITDA as net income adjusted for interest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income taxes, depreciation and amortization, equity -based compensation, acquisition expenses, realignment expenses, other non-operating income and expense, net, and equity in loss of joint venture, net of tax.</w:t>
      </w: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We define Adjusted Net Income as net income adjusted for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purchased intangibles and developed technologies, equity-based compensation, acquisition expenses, realignment expenses, other non-operating income and expense, net, the tax effect of the above adjustments to net income, non-recurring income tax expense and benefit, and equity in loss of joint venture, net of tax. The tax effect of adjustments to net income is based on the estimated marginal effective tax rates in the jurisdictions impacted by such adjustments.</w:t>
      </w:r>
    </w:p>
    <w:p>
      <w:pPr>
        <w:spacing w:after="0" w:line="103"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337"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605):</w:t>
      </w:r>
    </w:p>
    <w:p>
      <w:pPr>
        <w:spacing w:after="0" w:line="165"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33655</wp:posOffset>
            </wp:positionV>
            <wp:extent cx="16116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62" w:lineRule="exact"/>
        <w:rPr>
          <w:sz w:val="20"/>
          <w:szCs w:val="20"/>
          <w:color w:val="auto"/>
        </w:rPr>
      </w:pPr>
    </w:p>
    <w:p>
      <w:pPr>
        <w:ind w:left="6780"/>
        <w:spacing w:after="0"/>
        <w:tabs>
          <w:tab w:leader="none" w:pos="7680" w:val="left"/>
          <w:tab w:leader="none" w:pos="86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(1)</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4445</wp:posOffset>
            </wp:positionV>
            <wp:extent cx="474916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Provision (benefit) for income taxes</w:t>
      </w:r>
    </w:p>
    <w:p>
      <w:pPr>
        <w:ind w:left="180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6"/>
          <w:szCs w:val="26"/>
          <w:color w:val="auto"/>
          <w:vertAlign w:val="superscript"/>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wp:posOffset>
            </wp:positionV>
            <wp:extent cx="474916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80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ind w:left="180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80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ind w:left="1800"/>
        <w:spacing w:after="0" w:line="214" w:lineRule="auto"/>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99" w:hanging="199"/>
        <w:spacing w:after="0"/>
        <w:tabs>
          <w:tab w:leader="none" w:pos="1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59,165   $142,112   $103,426</w:t>
      </w:r>
    </w:p>
    <w:p>
      <w:pPr>
        <w:spacing w:after="0" w:line="49"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10,3208,765</w:t>
      </w:r>
      <w:r>
        <w:rPr>
          <w:rFonts w:ascii="Times New Roman" w:cs="Times New Roman" w:eastAsia="Times New Roman" w:hAnsi="Times New Roman"/>
          <w:sz w:val="17"/>
          <w:szCs w:val="17"/>
          <w:color w:val="auto"/>
        </w:rPr>
        <w:t>8,199</w:t>
      </w:r>
    </w:p>
    <w:p>
      <w:pPr>
        <w:spacing w:after="0" w:line="49"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46,141(29,250)21,762</w:t>
      </w:r>
    </w:p>
    <w:p>
      <w:pPr>
        <w:spacing w:after="0" w:line="63"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26,54429,20032,160</w:t>
      </w:r>
    </w:p>
    <w:p>
      <w:pPr>
        <w:spacing w:after="0" w:line="63" w:lineRule="exact"/>
        <w:rPr>
          <w:sz w:val="20"/>
          <w:szCs w:val="20"/>
          <w:color w:val="auto"/>
        </w:rPr>
      </w:pPr>
    </w:p>
    <w:p>
      <w:pPr>
        <w:ind w:left="279"/>
        <w:spacing w:after="0"/>
        <w:tabs>
          <w:tab w:leader="none" w:pos="1179" w:val="left"/>
          <w:tab w:leader="none" w:pos="2099" w:val="left"/>
        </w:tabs>
        <w:rPr>
          <w:sz w:val="20"/>
          <w:szCs w:val="20"/>
          <w:color w:val="auto"/>
        </w:rPr>
      </w:pPr>
      <w:r>
        <w:rPr>
          <w:rFonts w:ascii="Times New Roman" w:cs="Times New Roman" w:eastAsia="Times New Roman" w:hAnsi="Times New Roman"/>
          <w:sz w:val="18"/>
          <w:szCs w:val="18"/>
          <w:color w:val="auto"/>
        </w:rPr>
        <w:t>4,985</w:t>
      </w:r>
      <w:r>
        <w:rPr>
          <w:sz w:val="20"/>
          <w:szCs w:val="20"/>
          <w:color w:val="auto"/>
        </w:rPr>
        <w:tab/>
      </w:r>
      <w:r>
        <w:rPr>
          <w:rFonts w:ascii="Times New Roman" w:cs="Times New Roman" w:eastAsia="Times New Roman" w:hAnsi="Times New Roman"/>
          <w:sz w:val="18"/>
          <w:szCs w:val="18"/>
          <w:color w:val="auto"/>
        </w:rPr>
        <w:t>7,989</w:t>
      </w:r>
      <w:r>
        <w:rPr>
          <w:sz w:val="20"/>
          <w:szCs w:val="20"/>
          <w:color w:val="auto"/>
        </w:rPr>
        <w:tab/>
      </w:r>
      <w:r>
        <w:rPr>
          <w:rFonts w:ascii="Times New Roman" w:cs="Times New Roman" w:eastAsia="Times New Roman" w:hAnsi="Times New Roman"/>
          <w:sz w:val="17"/>
          <w:szCs w:val="17"/>
          <w:color w:val="auto"/>
        </w:rPr>
        <w:t>8,091</w:t>
      </w:r>
    </w:p>
    <w:p>
      <w:pPr>
        <w:spacing w:after="0" w:line="63" w:lineRule="exact"/>
        <w:rPr>
          <w:sz w:val="20"/>
          <w:szCs w:val="20"/>
          <w:color w:val="auto"/>
        </w:rPr>
      </w:pPr>
    </w:p>
    <w:p>
      <w:pPr>
        <w:ind w:left="279"/>
        <w:spacing w:after="0"/>
        <w:tabs>
          <w:tab w:leader="none" w:pos="1179" w:val="left"/>
          <w:tab w:leader="none" w:pos="2099" w:val="left"/>
        </w:tabs>
        <w:rPr>
          <w:sz w:val="20"/>
          <w:szCs w:val="20"/>
          <w:color w:val="auto"/>
        </w:rPr>
      </w:pPr>
      <w:r>
        <w:rPr>
          <w:rFonts w:ascii="Times New Roman" w:cs="Times New Roman" w:eastAsia="Times New Roman" w:hAnsi="Times New Roman"/>
          <w:sz w:val="18"/>
          <w:szCs w:val="18"/>
          <w:color w:val="auto"/>
        </w:rPr>
        <w:t>3,020</w:t>
      </w:r>
      <w:r>
        <w:rPr>
          <w:sz w:val="20"/>
          <w:szCs w:val="20"/>
          <w:color w:val="auto"/>
        </w:rPr>
        <w:tab/>
      </w:r>
      <w:r>
        <w:rPr>
          <w:rFonts w:ascii="Times New Roman" w:cs="Times New Roman" w:eastAsia="Times New Roman" w:hAnsi="Times New Roman"/>
          <w:sz w:val="18"/>
          <w:szCs w:val="18"/>
          <w:color w:val="auto"/>
        </w:rPr>
        <w:t>6,410</w:t>
      </w:r>
      <w:r>
        <w:rPr>
          <w:sz w:val="20"/>
          <w:szCs w:val="20"/>
          <w:color w:val="auto"/>
        </w:rPr>
        <w:tab/>
      </w:r>
      <w:r>
        <w:rPr>
          <w:rFonts w:ascii="Times New Roman" w:cs="Times New Roman" w:eastAsia="Times New Roman" w:hAnsi="Times New Roman"/>
          <w:sz w:val="17"/>
          <w:szCs w:val="17"/>
          <w:color w:val="auto"/>
        </w:rPr>
        <w:t>6,712</w:t>
      </w:r>
    </w:p>
    <w:p>
      <w:pPr>
        <w:spacing w:after="0" w:line="63" w:lineRule="exact"/>
        <w:rPr>
          <w:sz w:val="20"/>
          <w:szCs w:val="20"/>
          <w:color w:val="auto"/>
        </w:rPr>
      </w:pPr>
    </w:p>
    <w:p>
      <w:pPr>
        <w:jc w:val="both"/>
        <w:ind w:left="279"/>
        <w:spacing w:after="0"/>
        <w:tabs>
          <w:tab w:leader="none" w:pos="1179" w:val="left"/>
          <w:tab w:leader="none" w:pos="2179" w:val="left"/>
        </w:tabs>
        <w:rPr>
          <w:sz w:val="20"/>
          <w:szCs w:val="20"/>
          <w:color w:val="auto"/>
        </w:rPr>
      </w:pPr>
      <w:r>
        <w:rPr>
          <w:rFonts w:ascii="Times New Roman" w:cs="Times New Roman" w:eastAsia="Times New Roman" w:hAnsi="Times New Roman"/>
          <w:sz w:val="18"/>
          <w:szCs w:val="18"/>
          <w:color w:val="auto"/>
        </w:rPr>
        <w:t>4,938</w:t>
      </w:r>
      <w:r>
        <w:rPr>
          <w:sz w:val="20"/>
          <w:szCs w:val="20"/>
          <w:color w:val="auto"/>
        </w:rPr>
        <w:tab/>
      </w:r>
      <w:r>
        <w:rPr>
          <w:rFonts w:ascii="Times New Roman" w:cs="Times New Roman" w:eastAsia="Times New Roman" w:hAnsi="Times New Roman"/>
          <w:sz w:val="18"/>
          <w:szCs w:val="18"/>
          <w:color w:val="auto"/>
        </w:rPr>
        <w:t>6,778</w:t>
      </w:r>
      <w:r>
        <w:rPr>
          <w:sz w:val="20"/>
          <w:szCs w:val="20"/>
          <w:color w:val="auto"/>
        </w:rPr>
        <w:tab/>
      </w:r>
      <w:r>
        <w:rPr>
          <w:rFonts w:ascii="Times New Roman" w:cs="Times New Roman" w:eastAsia="Times New Roman" w:hAnsi="Times New Roman"/>
          <w:sz w:val="17"/>
          <w:szCs w:val="17"/>
          <w:color w:val="auto"/>
        </w:rPr>
        <w:t>(584)</w:t>
      </w:r>
    </w:p>
    <w:p>
      <w:pPr>
        <w:spacing w:after="0" w:line="63" w:lineRule="exact"/>
        <w:rPr>
          <w:sz w:val="20"/>
          <w:szCs w:val="20"/>
          <w:color w:val="auto"/>
        </w:rPr>
      </w:pPr>
    </w:p>
    <w:p>
      <w:pPr>
        <w:ind w:left="279"/>
        <w:spacing w:after="0"/>
        <w:tabs>
          <w:tab w:leader="none" w:pos="1259" w:val="left"/>
          <w:tab w:leader="none" w:pos="2099" w:val="left"/>
        </w:tabs>
        <w:rPr>
          <w:sz w:val="20"/>
          <w:szCs w:val="20"/>
          <w:color w:val="auto"/>
        </w:rPr>
      </w:pPr>
      <w:r>
        <w:rPr>
          <w:rFonts w:ascii="Times New Roman" w:cs="Times New Roman" w:eastAsia="Times New Roman" w:hAnsi="Times New Roman"/>
          <w:sz w:val="18"/>
          <w:szCs w:val="18"/>
          <w:color w:val="auto"/>
        </w:rPr>
        <w:t>5,773</w:t>
      </w:r>
      <w:r>
        <w:rPr>
          <w:sz w:val="20"/>
          <w:szCs w:val="20"/>
          <w:color w:val="auto"/>
        </w:rPr>
        <w:tab/>
      </w: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5,557</w:t>
      </w:r>
    </w:p>
    <w:p>
      <w:pPr>
        <w:spacing w:after="0" w:line="44" w:lineRule="exact"/>
        <w:rPr>
          <w:sz w:val="20"/>
          <w:szCs w:val="20"/>
          <w:color w:val="auto"/>
        </w:rPr>
      </w:pPr>
    </w:p>
    <w:p>
      <w:pPr>
        <w:sectPr>
          <w:pgSz w:w="11900" w:h="16838" w:orient="portrait"/>
          <w:cols w:equalWidth="0" w:num="2">
            <w:col w:w="5861" w:space="720"/>
            <w:col w:w="3558"/>
          </w:cols>
          <w:pgMar w:left="320" w:top="114"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5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4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160,886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171,768</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186,598</w:t>
            </w: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605):</w:t>
      </w:r>
    </w:p>
    <w:p>
      <w:pPr>
        <w:spacing w:after="0" w:line="16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15944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2" w:lineRule="exact"/>
        <w:rPr>
          <w:sz w:val="20"/>
          <w:szCs w:val="20"/>
          <w:color w:val="auto"/>
        </w:rPr>
      </w:pPr>
    </w:p>
    <w:p>
      <w:pPr>
        <w:jc w:val="both"/>
        <w:ind w:left="6800"/>
        <w:spacing w:after="0"/>
        <w:tabs>
          <w:tab w:leader="none" w:pos="7680" w:val="left"/>
          <w:tab w:leader="none" w:pos="86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(1)</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4445</wp:posOffset>
            </wp:positionV>
            <wp:extent cx="4749165"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ind w:left="2160" w:right="420" w:hanging="179"/>
        <w:spacing w:after="0" w:line="227" w:lineRule="auto"/>
        <w:rPr>
          <w:sz w:val="20"/>
          <w:szCs w:val="20"/>
          <w:color w:val="auto"/>
        </w:rPr>
      </w:pPr>
      <w:r>
        <w:rPr>
          <w:rFonts w:ascii="Times New Roman" w:cs="Times New Roman" w:eastAsia="Times New Roman" w:hAnsi="Times New Roman"/>
          <w:sz w:val="18"/>
          <w:szCs w:val="18"/>
          <w:color w:val="auto"/>
        </w:rPr>
        <w:t>Amortization of purchased intangibles and developed technologies</w:t>
      </w:r>
      <w:r>
        <w:rPr>
          <w:rFonts w:ascii="Times New Roman" w:cs="Times New Roman" w:eastAsia="Times New Roman" w:hAnsi="Times New Roman"/>
          <w:sz w:val="26"/>
          <w:szCs w:val="26"/>
          <w:color w:val="auto"/>
          <w:vertAlign w:val="superscript"/>
        </w:rPr>
        <w:t>(3)(b)</w:t>
      </w:r>
    </w:p>
    <w:p>
      <w:pPr>
        <w:ind w:left="198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98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98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39" w:lineRule="exact"/>
        <w:rPr>
          <w:sz w:val="20"/>
          <w:szCs w:val="20"/>
          <w:color w:val="auto"/>
        </w:rPr>
      </w:pPr>
    </w:p>
    <w:p>
      <w:pPr>
        <w:ind w:left="1980" w:right="720" w:hanging="179"/>
        <w:spacing w:after="0" w:line="277"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-166370</wp:posOffset>
            </wp:positionV>
            <wp:extent cx="474916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2160" w:right="60" w:hanging="179"/>
        <w:spacing w:after="0"/>
        <w:rPr>
          <w:sz w:val="20"/>
          <w:szCs w:val="20"/>
          <w:color w:val="auto"/>
        </w:rPr>
      </w:pPr>
      <w:r>
        <w:rPr>
          <w:rFonts w:ascii="Times New Roman" w:cs="Times New Roman" w:eastAsia="Times New Roman" w:hAnsi="Times New Roman"/>
          <w:sz w:val="18"/>
          <w:szCs w:val="18"/>
          <w:color w:val="auto"/>
        </w:rPr>
        <w:t>Non-recurring income tax expense related to Tax Cuts and Jobs Act</w:t>
      </w:r>
      <w:r>
        <w:rPr>
          <w:rFonts w:ascii="Times New Roman" w:cs="Times New Roman" w:eastAsia="Times New Roman" w:hAnsi="Times New Roman"/>
          <w:sz w:val="26"/>
          <w:szCs w:val="26"/>
          <w:color w:val="auto"/>
          <w:vertAlign w:val="superscript"/>
        </w:rPr>
        <w:t>(3)(g)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-17780</wp:posOffset>
            </wp:positionV>
            <wp:extent cx="4749165"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ind w:left="2160" w:right="100" w:hanging="179"/>
        <w:spacing w:after="0" w:line="236" w:lineRule="auto"/>
        <w:rPr>
          <w:sz w:val="20"/>
          <w:szCs w:val="20"/>
          <w:color w:val="auto"/>
        </w:rPr>
      </w:pPr>
      <w:r>
        <w:rPr>
          <w:rFonts w:ascii="Times New Roman" w:cs="Times New Roman" w:eastAsia="Times New Roman" w:hAnsi="Times New Roman"/>
          <w:sz w:val="18"/>
          <w:szCs w:val="18"/>
          <w:color w:val="auto"/>
        </w:rPr>
        <w:t>Non-recurring income tax benefit related to intercompany transactions</w:t>
      </w:r>
      <w:r>
        <w:rPr>
          <w:rFonts w:ascii="Times New Roman" w:cs="Times New Roman" w:eastAsia="Times New Roman" w:hAnsi="Times New Roman"/>
          <w:sz w:val="26"/>
          <w:szCs w:val="26"/>
          <w:color w:val="auto"/>
          <w:vertAlign w:val="superscript"/>
        </w:rPr>
        <w:t>(3)(h)</w:t>
      </w:r>
    </w:p>
    <w:p>
      <w:pPr>
        <w:spacing w:after="0" w:line="2" w:lineRule="exact"/>
        <w:rPr>
          <w:sz w:val="20"/>
          <w:szCs w:val="20"/>
          <w:color w:val="auto"/>
        </w:rPr>
      </w:pPr>
    </w:p>
    <w:p>
      <w:pPr>
        <w:ind w:left="1620" w:right="1400" w:firstLine="360"/>
        <w:spacing w:after="0" w:line="337" w:lineRule="auto"/>
        <w:rPr>
          <w:sz w:val="20"/>
          <w:szCs w:val="20"/>
          <w:color w:val="auto"/>
        </w:rPr>
      </w:pPr>
      <w:r>
        <w:rPr>
          <w:rFonts w:ascii="Times New Roman" w:cs="Times New Roman" w:eastAsia="Times New Roman" w:hAnsi="Times New Roman"/>
          <w:sz w:val="18"/>
          <w:szCs w:val="18"/>
          <w:color w:val="auto"/>
        </w:rPr>
        <w:t>Equity in loss of joint venture, net of tax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-223520</wp:posOffset>
            </wp:positionV>
            <wp:extent cx="474916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606):</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$103,426</w:t>
            </w:r>
          </w:p>
        </w:tc>
        <w:tc>
          <w:tcPr>
            <w:tcW w:w="60" w:type="dxa"/>
            <w:vAlign w:val="bottom"/>
          </w:tcPr>
          <w:p>
            <w:pPr>
              <w:spacing w:after="0"/>
              <w:rPr>
                <w:sz w:val="20"/>
                <w:szCs w:val="20"/>
                <w:color w:val="auto"/>
              </w:rPr>
            </w:pPr>
          </w:p>
        </w:tc>
      </w:tr>
      <w:tr>
        <w:trPr>
          <w:trHeight w:val="729"/>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60" w:type="dxa"/>
            <w:vAlign w:val="bottom"/>
          </w:tcPr>
          <w:p>
            <w:pPr>
              <w:spacing w:after="0"/>
              <w:rPr>
                <w:sz w:val="24"/>
                <w:szCs w:val="24"/>
                <w:color w:val="auto"/>
              </w:rPr>
            </w:pPr>
          </w:p>
        </w:tc>
      </w:tr>
      <w:tr>
        <w:trPr>
          <w:trHeight w:val="283"/>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6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60" w:type="dxa"/>
            <w:vAlign w:val="bottom"/>
          </w:tcPr>
          <w:p>
            <w:pPr>
              <w:spacing w:after="0"/>
              <w:rPr>
                <w:sz w:val="23"/>
                <w:szCs w:val="23"/>
                <w:color w:val="auto"/>
              </w:rPr>
            </w:pPr>
          </w:p>
        </w:tc>
      </w:tr>
      <w:tr>
        <w:trPr>
          <w:trHeight w:val="270"/>
        </w:trPr>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7"/>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60" w:type="dxa"/>
            <w:vAlign w:val="bottom"/>
          </w:tcPr>
          <w:p>
            <w:pPr>
              <w:spacing w:after="0"/>
              <w:rPr>
                <w:sz w:val="24"/>
                <w:szCs w:val="24"/>
                <w:color w:val="auto"/>
              </w:rPr>
            </w:pPr>
          </w:p>
        </w:tc>
      </w:tr>
      <w:tr>
        <w:trPr>
          <w:trHeight w:val="257"/>
        </w:trPr>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24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60" w:type="dxa"/>
            <w:vAlign w:val="bottom"/>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(7,737)</w:t>
            </w:r>
          </w:p>
        </w:tc>
      </w:tr>
      <w:tr>
        <w:trPr>
          <w:trHeight w:val="473"/>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(46,369)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115,389</w:t>
            </w:r>
          </w:p>
        </w:tc>
        <w:tc>
          <w:tcPr>
            <w:tcW w:w="1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$132,246</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$135,471</w:t>
            </w:r>
          </w:p>
        </w:tc>
        <w:tc>
          <w:tcPr>
            <w:tcW w:w="60" w:type="dxa"/>
            <w:vAlign w:val="bottom"/>
          </w:tcPr>
          <w:p>
            <w:pPr>
              <w:spacing w:after="0"/>
              <w:rPr>
                <w:sz w:val="22"/>
                <w:szCs w:val="22"/>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6440" w:space="160"/>
            <w:col w:w="3539"/>
          </w:cols>
          <w:pgMar w:left="320" w:top="114" w:right="1440" w:bottom="1440" w:gutter="0" w:footer="0" w:header="0"/>
          <w:type w:val="continuous"/>
        </w:sectPr>
      </w:pPr>
    </w:p>
    <w:tbl>
      <w:tblPr>
        <w:tblLayout w:type="fixed"/>
        <w:tblInd w:w="50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(2)</w:t>
      </w:r>
    </w:p>
    <w:p>
      <w:pPr>
        <w:spacing w:after="0" w:line="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6"/>
          <w:szCs w:val="26"/>
          <w:color w:val="auto"/>
          <w:vertAlign w:val="superscript"/>
        </w:rPr>
        <w:t>(3)(a)</w:t>
      </w:r>
    </w:p>
    <w:p>
      <w:pPr>
        <w:ind w:left="144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ind w:left="144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44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ind w:left="1440"/>
        <w:spacing w:after="0" w:line="203" w:lineRule="auto"/>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$ 53,174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$141,563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$103,096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$ 68,745</w:t>
            </w:r>
          </w:p>
        </w:tc>
      </w:tr>
      <w:tr>
        <w:trPr>
          <w:trHeight w:val="256"/>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8,199</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57"/>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23,738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29,200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32,160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8,091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6,410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6,597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6,778</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-1017905</wp:posOffset>
            </wp:positionV>
            <wp:extent cx="52120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-683895</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-340995</wp:posOffset>
            </wp:positionV>
            <wp:extent cx="52120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40" w:space="720"/>
            <w:col w:w="5079"/>
          </w:cols>
          <w:pgMar w:left="32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2"/>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21"/>
                <w:szCs w:val="21"/>
                <w:color w:val="auto"/>
              </w:rPr>
            </w:pPr>
          </w:p>
        </w:tc>
      </w:tr>
      <w:tr>
        <w:trPr>
          <w:trHeight w:val="250"/>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153,830</w:t>
            </w:r>
          </w:p>
        </w:tc>
        <w:tc>
          <w:tcPr>
            <w:tcW w:w="200" w:type="dxa"/>
            <w:vAlign w:val="bottom"/>
            <w:tcBorders>
              <w:top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171,120</w:t>
            </w: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188,129</w:t>
            </w: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79,384</w:t>
            </w:r>
          </w:p>
        </w:tc>
        <w:tc>
          <w:tcPr>
            <w:tcW w:w="320" w:type="dxa"/>
            <w:vAlign w:val="bottom"/>
            <w:tcBorders>
              <w:top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115,506</w:t>
            </w:r>
          </w:p>
        </w:tc>
        <w:tc>
          <w:tcPr>
            <w:tcW w:w="6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-196215</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606):</w:t>
      </w:r>
    </w:p>
    <w:p>
      <w:pPr>
        <w:spacing w:after="0" w:line="178" w:lineRule="exact"/>
        <w:rPr>
          <w:sz w:val="20"/>
          <w:szCs w:val="20"/>
          <w:color w:val="auto"/>
        </w:rPr>
      </w:pPr>
    </w:p>
    <w:tbl>
      <w:tblPr>
        <w:tblLayout w:type="fixed"/>
        <w:tblInd w:w="572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90"/>
        </w:trPr>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9"/>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(2)</w:t>
      </w:r>
    </w:p>
    <w:p>
      <w:pPr>
        <w:spacing w:after="0" w:line="26"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4445</wp:posOffset>
            </wp:positionV>
            <wp:extent cx="5212080" cy="308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jc w:val="center"/>
        <w:ind w:left="1100"/>
        <w:spacing w:after="0"/>
        <w:rPr>
          <w:sz w:val="20"/>
          <w:szCs w:val="20"/>
          <w:color w:val="auto"/>
        </w:rPr>
      </w:pPr>
      <w:r>
        <w:rPr>
          <w:rFonts w:ascii="Times New Roman" w:cs="Times New Roman" w:eastAsia="Times New Roman" w:hAnsi="Times New Roman"/>
          <w:sz w:val="18"/>
          <w:szCs w:val="18"/>
          <w:color w:val="auto"/>
        </w:rPr>
        <w:t>Amortization of purchased intangibles and</w:t>
      </w:r>
    </w:p>
    <w:p>
      <w:pPr>
        <w:ind w:left="1800"/>
        <w:spacing w:after="0" w:line="227" w:lineRule="auto"/>
        <w:rPr>
          <w:sz w:val="20"/>
          <w:szCs w:val="20"/>
          <w:color w:val="auto"/>
        </w:rPr>
      </w:pPr>
      <w:r>
        <w:rPr>
          <w:rFonts w:ascii="Times New Roman" w:cs="Times New Roman" w:eastAsia="Times New Roman" w:hAnsi="Times New Roman"/>
          <w:sz w:val="18"/>
          <w:szCs w:val="18"/>
          <w:color w:val="auto"/>
        </w:rPr>
        <w:t>developed technologies</w:t>
      </w:r>
      <w:r>
        <w:rPr>
          <w:rFonts w:ascii="Times New Roman" w:cs="Times New Roman" w:eastAsia="Times New Roman" w:hAnsi="Times New Roman"/>
          <w:sz w:val="26"/>
          <w:szCs w:val="26"/>
          <w:color w:val="auto"/>
          <w:vertAlign w:val="superscript"/>
        </w:rPr>
        <w:t>(3)(b)</w:t>
      </w:r>
    </w:p>
    <w:p>
      <w:pPr>
        <w:ind w:left="1620"/>
        <w:spacing w:after="0" w:line="217"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62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620"/>
        <w:spacing w:after="0" w:line="216"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39" w:lineRule="exact"/>
        <w:rPr>
          <w:sz w:val="20"/>
          <w:szCs w:val="20"/>
          <w:color w:val="auto"/>
        </w:rPr>
      </w:pPr>
    </w:p>
    <w:p>
      <w:pPr>
        <w:ind w:left="1620" w:hanging="179"/>
        <w:spacing w:after="0" w:line="277"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-166370</wp:posOffset>
            </wp:positionV>
            <wp:extent cx="52120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800" w:right="40" w:hanging="179"/>
        <w:spacing w:after="0"/>
        <w:rPr>
          <w:sz w:val="20"/>
          <w:szCs w:val="20"/>
          <w:color w:val="auto"/>
        </w:rPr>
      </w:pPr>
      <w:r>
        <w:rPr>
          <w:rFonts w:ascii="Times New Roman" w:cs="Times New Roman" w:eastAsia="Times New Roman" w:hAnsi="Times New Roman"/>
          <w:sz w:val="18"/>
          <w:szCs w:val="18"/>
          <w:color w:val="auto"/>
        </w:rPr>
        <w:t>Non-recurring income tax expense related to Tax Cuts and Jobs Act</w:t>
      </w:r>
      <w:r>
        <w:rPr>
          <w:rFonts w:ascii="Times New Roman" w:cs="Times New Roman" w:eastAsia="Times New Roman" w:hAnsi="Times New Roman"/>
          <w:sz w:val="26"/>
          <w:szCs w:val="26"/>
          <w:color w:val="auto"/>
          <w:vertAlign w:val="superscript"/>
        </w:rPr>
        <w:t>(3)(g)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-17780</wp:posOffset>
            </wp:positionV>
            <wp:extent cx="5212080" cy="308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800" w:right="460" w:hanging="179"/>
        <w:spacing w:after="0" w:line="236" w:lineRule="auto"/>
        <w:rPr>
          <w:sz w:val="20"/>
          <w:szCs w:val="20"/>
          <w:color w:val="auto"/>
        </w:rPr>
      </w:pPr>
      <w:r>
        <w:rPr>
          <w:rFonts w:ascii="Times New Roman" w:cs="Times New Roman" w:eastAsia="Times New Roman" w:hAnsi="Times New Roman"/>
          <w:sz w:val="18"/>
          <w:szCs w:val="18"/>
          <w:color w:val="auto"/>
        </w:rPr>
        <w:t>Non-recurring income tax benefit related to intercompany transactions</w:t>
      </w:r>
      <w:r>
        <w:rPr>
          <w:rFonts w:ascii="Times New Roman" w:cs="Times New Roman" w:eastAsia="Times New Roman" w:hAnsi="Times New Roman"/>
          <w:sz w:val="26"/>
          <w:szCs w:val="26"/>
          <w:color w:val="auto"/>
          <w:vertAlign w:val="superscript"/>
        </w:rPr>
        <w:t>(3)(h)</w:t>
      </w:r>
    </w:p>
    <w:p>
      <w:pPr>
        <w:spacing w:after="0" w:line="2" w:lineRule="exact"/>
        <w:rPr>
          <w:sz w:val="20"/>
          <w:szCs w:val="20"/>
          <w:color w:val="auto"/>
        </w:rPr>
      </w:pPr>
    </w:p>
    <w:p>
      <w:pPr>
        <w:ind w:left="1260" w:right="680" w:firstLine="360"/>
        <w:spacing w:after="0" w:line="337" w:lineRule="auto"/>
        <w:rPr>
          <w:sz w:val="20"/>
          <w:szCs w:val="20"/>
          <w:color w:val="auto"/>
        </w:rPr>
      </w:pPr>
      <w:r>
        <w:rPr>
          <w:rFonts w:ascii="Times New Roman" w:cs="Times New Roman" w:eastAsia="Times New Roman" w:hAnsi="Times New Roman"/>
          <w:sz w:val="18"/>
          <w:szCs w:val="18"/>
          <w:color w:val="auto"/>
        </w:rPr>
        <w:t>Equity in loss of joint venture, net of tax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-223520</wp:posOffset>
            </wp:positionV>
            <wp:extent cx="52120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58420</wp:posOffset>
            </wp:positionV>
            <wp:extent cx="1234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$141,563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$103,096</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$46,418</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$68,745</w:t>
            </w:r>
          </w:p>
        </w:tc>
        <w:tc>
          <w:tcPr>
            <w:tcW w:w="60" w:type="dxa"/>
            <w:vAlign w:val="bottom"/>
          </w:tcPr>
          <w:p>
            <w:pPr>
              <w:spacing w:after="0"/>
              <w:rPr>
                <w:sz w:val="20"/>
                <w:szCs w:val="20"/>
                <w:color w:val="auto"/>
              </w:rPr>
            </w:pPr>
          </w:p>
        </w:tc>
      </w:tr>
      <w:tr>
        <w:trPr>
          <w:trHeight w:val="729"/>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60" w:type="dxa"/>
            <w:vAlign w:val="bottom"/>
          </w:tcPr>
          <w:p>
            <w:pPr>
              <w:spacing w:after="0"/>
              <w:rPr>
                <w:sz w:val="24"/>
                <w:szCs w:val="24"/>
                <w:color w:val="auto"/>
              </w:rPr>
            </w:pPr>
          </w:p>
        </w:tc>
      </w:tr>
      <w:tr>
        <w:trPr>
          <w:trHeight w:val="284"/>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6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3"/>
                <w:szCs w:val="23"/>
                <w:color w:val="auto"/>
              </w:rPr>
            </w:pPr>
          </w:p>
        </w:tc>
      </w:tr>
      <w:tr>
        <w:trPr>
          <w:trHeight w:val="270"/>
        </w:trPr>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3"/>
                <w:szCs w:val="23"/>
                <w:color w:val="auto"/>
              </w:rPr>
            </w:pPr>
          </w:p>
        </w:tc>
      </w:tr>
      <w:tr>
        <w:trPr>
          <w:trHeight w:val="277"/>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60" w:type="dxa"/>
            <w:vAlign w:val="bottom"/>
          </w:tcPr>
          <w:p>
            <w:pPr>
              <w:spacing w:after="0"/>
              <w:rPr>
                <w:sz w:val="24"/>
                <w:szCs w:val="24"/>
                <w:color w:val="auto"/>
              </w:rPr>
            </w:pPr>
          </w:p>
        </w:tc>
      </w:tr>
      <w:tr>
        <w:trPr>
          <w:trHeight w:val="257"/>
        </w:trPr>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2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1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1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60" w:type="dxa"/>
            <w:vAlign w:val="bottom"/>
          </w:tcPr>
          <w:p>
            <w:pPr>
              <w:spacing w:after="0"/>
              <w:rPr>
                <w:sz w:val="22"/>
                <w:szCs w:val="22"/>
                <w:color w:val="auto"/>
              </w:rPr>
            </w:pPr>
          </w:p>
        </w:tc>
      </w:tr>
      <w:tr>
        <w:trPr>
          <w:trHeight w:val="256"/>
        </w:trPr>
        <w:tc>
          <w:tcPr>
            <w:tcW w:w="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473"/>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(46,369)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tcPr>
          <w:p>
            <w:pPr>
              <w:spacing w:after="0"/>
              <w:rPr>
                <w:sz w:val="24"/>
                <w:szCs w:val="24"/>
                <w:color w:val="auto"/>
              </w:rPr>
            </w:pPr>
          </w:p>
        </w:tc>
      </w:tr>
      <w:tr>
        <w:trPr>
          <w:trHeight w:val="263"/>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109,398</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$131,697</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$135,049</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$59,978</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$89,203</w:t>
            </w:r>
          </w:p>
        </w:tc>
        <w:tc>
          <w:tcPr>
            <w:tcW w:w="60" w:type="dxa"/>
            <w:vAlign w:val="bottom"/>
          </w:tcPr>
          <w:p>
            <w:pPr>
              <w:spacing w:after="0"/>
              <w:rPr>
                <w:sz w:val="22"/>
                <w:szCs w:val="2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5360" w:space="380"/>
            <w:col w:w="4980"/>
          </w:cols>
          <w:pgMar w:left="320" w:top="114" w:right="859" w:bottom="1440" w:gutter="0" w:footer="0" w:header="0"/>
          <w:type w:val="continuous"/>
        </w:sectPr>
      </w:pPr>
    </w:p>
    <w:p>
      <w:pPr>
        <w:spacing w:after="0" w:line="49" w:lineRule="exact"/>
        <w:rPr>
          <w:sz w:val="20"/>
          <w:szCs w:val="20"/>
          <w:color w:val="auto"/>
        </w:rPr>
      </w:pPr>
    </w:p>
    <w:p>
      <w:pPr>
        <w:ind w:left="1620" w:right="1260" w:hanging="358"/>
        <w:spacing w:after="0" w:line="259"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81" w:lineRule="exact"/>
        <w:rPr>
          <w:rFonts w:ascii="Times New Roman" w:cs="Times New Roman" w:eastAsia="Times New Roman" w:hAnsi="Times New Roman"/>
          <w:sz w:val="18"/>
          <w:szCs w:val="18"/>
          <w:color w:val="auto"/>
        </w:rPr>
      </w:pPr>
    </w:p>
    <w:p>
      <w:pPr>
        <w:ind w:left="1620" w:right="1340" w:hanging="358"/>
        <w:spacing w:after="0" w:line="253"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and income tax adjustments as if the adoption of Topic 606 had occurred as of January 1, 2017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as well as our accounting for costs to obtain a contract with a customer, remained substantially unchanged and were not adjusted. See Note 2 to our consolidated financial statements included elsewhere in this prospectus for additional information regarding the adoption of Topic 606.</w:t>
      </w:r>
    </w:p>
    <w:p>
      <w:pPr>
        <w:spacing w:after="0" w:line="12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Topic 605 to Topic 606: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 2017</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Perpetual licenses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(11,678)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62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-1336675</wp:posOffset>
            </wp:positionV>
            <wp:extent cx="43033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2018</w:t>
            </w:r>
          </w:p>
        </w:tc>
      </w:tr>
      <w:tr>
        <w:trPr>
          <w:trHeight w:val="2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464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2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$560,485</w:t>
            </w:r>
          </w:p>
        </w:tc>
        <w:tc>
          <w:tcPr>
            <w:tcW w:w="60" w:type="dxa"/>
            <w:vAlign w:val="bottom"/>
          </w:tcPr>
          <w:p>
            <w:pPr>
              <w:spacing w:after="0"/>
              <w:rPr>
                <w:sz w:val="21"/>
                <w:szCs w:val="2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(3,712)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60" w:type="dxa"/>
            <w:vAlign w:val="bottom"/>
          </w:tcPr>
          <w:p>
            <w:pPr>
              <w:spacing w:after="0"/>
              <w:rPr>
                <w:sz w:val="22"/>
                <w:szCs w:val="22"/>
                <w:color w:val="auto"/>
              </w:rPr>
            </w:pPr>
          </w:p>
        </w:tc>
      </w:tr>
      <w:tr>
        <w:trPr>
          <w:trHeight w:val="26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60" w:type="dxa"/>
            <w:vAlign w:val="bottom"/>
          </w:tcPr>
          <w:p>
            <w:pPr>
              <w:spacing w:after="0"/>
              <w:rPr>
                <w:sz w:val="22"/>
                <w:szCs w:val="22"/>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20" w:type="dxa"/>
            <w:vAlign w:val="bottom"/>
          </w:tcPr>
          <w:p>
            <w:pPr>
              <w:spacing w:after="0"/>
              <w:rPr>
                <w:sz w:val="23"/>
                <w:szCs w:val="23"/>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141,563</w:t>
            </w:r>
          </w:p>
        </w:tc>
        <w:tc>
          <w:tcPr>
            <w:tcW w:w="60" w:type="dxa"/>
            <w:vAlign w:val="bottom"/>
          </w:tcPr>
          <w:p>
            <w:pPr>
              <w:spacing w:after="0"/>
              <w:rPr>
                <w:sz w:val="23"/>
                <w:szCs w:val="23"/>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033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83" w:lineRule="exact"/>
        <w:rPr>
          <w:sz w:val="20"/>
          <w:szCs w:val="20"/>
          <w:color w:val="auto"/>
        </w:rPr>
      </w:pPr>
    </w:p>
    <w:p>
      <w:pPr>
        <w:ind w:left="1620" w:right="959" w:hanging="358"/>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11" w:lineRule="exact"/>
        <w:rPr>
          <w:rFonts w:ascii="Times New Roman" w:cs="Times New Roman" w:eastAsia="Times New Roman" w:hAnsi="Times New Roman"/>
          <w:sz w:val="18"/>
          <w:szCs w:val="18"/>
          <w:color w:val="auto"/>
        </w:rPr>
      </w:pPr>
    </w:p>
    <w:p>
      <w:pPr>
        <w:ind w:left="1980" w:right="799" w:hanging="358"/>
        <w:spacing w:after="0" w:line="261"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amortization of $1,617,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$2,052, and $3,516 for the years ended December 31, 2017, 2018, and 2019, respectively, and $1,448 and $2,022 for the six months ended June 30, 2019 and 2020, respectively, related to certain projects under our Accelerated Commercial Development Program (“ACDP”).</w:t>
      </w:r>
    </w:p>
    <w:p>
      <w:pPr>
        <w:spacing w:after="0" w:line="31" w:lineRule="exact"/>
        <w:rPr>
          <w:rFonts w:ascii="Times New Roman" w:cs="Times New Roman" w:eastAsia="Times New Roman" w:hAnsi="Times New Roman"/>
          <w:sz w:val="18"/>
          <w:szCs w:val="18"/>
          <w:color w:val="auto"/>
        </w:rPr>
      </w:pPr>
    </w:p>
    <w:p>
      <w:pPr>
        <w:ind w:left="1980" w:right="719" w:hanging="358"/>
        <w:spacing w:after="0" w:line="254"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Amortization of purchased intangibles and developed technologies. </w:t>
      </w:r>
      <w:r>
        <w:rPr>
          <w:rFonts w:ascii="Times New Roman" w:cs="Times New Roman" w:eastAsia="Times New Roman" w:hAnsi="Times New Roman"/>
          <w:sz w:val="18"/>
          <w:szCs w:val="18"/>
          <w:color w:val="auto"/>
        </w:rPr>
        <w:t>Amortization of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varies in amount and frequency and is significantly impacted by the timing and size of our acquisitions. For the years ended December 31, 2017, 2018, and 2019 and the six months ended June 30, 2019 and 2020, amortization of acquisition related developed technologies under our ACDP was $359, $375, $723, $363, and $182, respectively. Management finds it useful to exclude these variable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69" w:lineRule="exact"/>
        <w:rPr>
          <w:rFonts w:ascii="Times New Roman" w:cs="Times New Roman" w:eastAsia="Times New Roman" w:hAnsi="Times New Roman"/>
          <w:sz w:val="18"/>
          <w:szCs w:val="18"/>
          <w:color w:val="auto"/>
        </w:rPr>
      </w:pPr>
    </w:p>
    <w:p>
      <w:pPr>
        <w:ind w:left="1980" w:right="799" w:hanging="358"/>
        <w:spacing w:after="0" w:line="255"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xml:space="preserve">. We exclude equity-based compensation expenses from our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we believe excluding equity-based compensation expenses allows investors to make meaningful comparisons between our recurring core business results of operations and those of other companies.</w:t>
      </w:r>
    </w:p>
    <w:p>
      <w:pPr>
        <w:spacing w:after="0" w:line="36" w:lineRule="exact"/>
        <w:rPr>
          <w:rFonts w:ascii="Times New Roman" w:cs="Times New Roman" w:eastAsia="Times New Roman" w:hAnsi="Times New Roman"/>
          <w:sz w:val="18"/>
          <w:szCs w:val="18"/>
          <w:color w:val="auto"/>
        </w:rPr>
      </w:pPr>
    </w:p>
    <w:p>
      <w:pPr>
        <w:ind w:left="1980" w:right="799" w:hanging="358"/>
        <w:spacing w:after="0" w:line="254"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expenses. </w:t>
      </w:r>
      <w:r>
        <w:rPr>
          <w:rFonts w:ascii="Times New Roman" w:cs="Times New Roman" w:eastAsia="Times New Roman" w:hAnsi="Times New Roman"/>
          <w:sz w:val="18"/>
          <w:szCs w:val="18"/>
          <w:color w:val="auto"/>
        </w:rPr>
        <w:t>We incur expenses for professional services rendered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included in our 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w:t>
      </w:r>
    </w:p>
    <w:p>
      <w:pPr>
        <w:spacing w:after="0" w:line="36" w:lineRule="exact"/>
        <w:rPr>
          <w:rFonts w:ascii="Times New Roman" w:cs="Times New Roman" w:eastAsia="Times New Roman" w:hAnsi="Times New Roman"/>
          <w:sz w:val="18"/>
          <w:szCs w:val="18"/>
          <w:color w:val="auto"/>
        </w:rPr>
      </w:pPr>
    </w:p>
    <w:p>
      <w:pPr>
        <w:ind w:left="1980" w:right="799" w:hanging="358"/>
        <w:spacing w:after="0" w:line="256"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Realignment expenses. </w:t>
      </w:r>
      <w:r>
        <w:rPr>
          <w:rFonts w:ascii="Times New Roman" w:cs="Times New Roman" w:eastAsia="Times New Roman" w:hAnsi="Times New Roman"/>
          <w:sz w:val="18"/>
          <w:szCs w:val="18"/>
          <w:color w:val="auto"/>
        </w:rPr>
        <w:t>These expenses are associated with realigning our business strategies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serve our accounts and to better align resources with the evolving needs of the business. In connection with these actions, we recognize costs related to termination benefits for former colleagues whose positions were eliminated. We exclude these charges because they are not reflective of our ongoing business and results of operation. We believe it is useful for investors to understand the effects of these items on our total operating expenses. In the ordinary course of operating our business, we incur severance expenses that are not included in this adjustment.</w:t>
      </w:r>
    </w:p>
    <w:p>
      <w:pPr>
        <w:spacing w:after="0" w:line="47" w:lineRule="exact"/>
        <w:rPr>
          <w:rFonts w:ascii="Times New Roman" w:cs="Times New Roman" w:eastAsia="Times New Roman" w:hAnsi="Times New Roman"/>
          <w:sz w:val="18"/>
          <w:szCs w:val="18"/>
          <w:color w:val="auto"/>
        </w:rPr>
      </w:pPr>
    </w:p>
    <w:p>
      <w:pPr>
        <w:ind w:left="1980" w:right="719" w:hanging="358"/>
        <w:spacing w:after="0" w:line="260" w:lineRule="auto"/>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Primarily consists of foreign currency translation losses of $6,294,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$418, and $5,591 for the years ended December 31, 2017, 2018, and 2019, respectively, and $1,588 and $4,263 for the six months ended June 30, 2019 and 2020, respectively. The foreign currency translation losses derive primarily from U.S. Dollar denominated intercompany balances, cash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19"/>
        <w:spacing w:after="0" w:line="252" w:lineRule="auto"/>
        <w:rPr>
          <w:sz w:val="20"/>
          <w:szCs w:val="20"/>
          <w:color w:val="auto"/>
        </w:rPr>
      </w:pPr>
      <w:r>
        <w:rPr>
          <w:rFonts w:ascii="Times New Roman" w:cs="Times New Roman" w:eastAsia="Times New Roman" w:hAnsi="Times New Roman"/>
          <w:sz w:val="18"/>
          <w:szCs w:val="18"/>
          <w:color w:val="auto"/>
        </w:rPr>
        <w:t>cash equivalents, and accounts receivable held by foreign subsidiaries with non-U.S. Dollar functional currencies. In 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are fully eliminated in consolidation. The gains and losses from such translations are included in Other income (expense), net. For the year ended December 31, 2019 and the six months ended June 30, 2019 and 2020, intercompany loan balances resulted in unrealized foreign currency translation losses of $5,270, $1,680, and $1,765, respectively. Foreign currency translation gain and losses are driven by the volume of foreign currency transactions and the foreign currency exchange rates for the year. A significant amount of such gains and losses is derived from the translation of intercompany balances which eliminate in consolidation and are unrealized. Other (income) expense, net also includes the loss from the change in fair value of our interest rate swap of $4,174 for the six months ended June 30, 2020. We exclude these charges because they are not reflective of ongoing business and results of operation. We believe it is useful for investors to understand the effects of these items on our total operating expenses.</w:t>
      </w:r>
    </w:p>
    <w:p>
      <w:pPr>
        <w:spacing w:after="0" w:line="260" w:lineRule="exact"/>
        <w:rPr>
          <w:sz w:val="20"/>
          <w:szCs w:val="20"/>
          <w:color w:val="auto"/>
        </w:rPr>
      </w:pPr>
    </w:p>
    <w:p>
      <w:pPr>
        <w:ind w:left="1980" w:right="739" w:hanging="358"/>
        <w:spacing w:after="0" w:line="258"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expense related to Tax Cuts and Jobs Act</w:t>
      </w:r>
      <w:r>
        <w:rPr>
          <w:rFonts w:ascii="Times New Roman" w:cs="Times New Roman" w:eastAsia="Times New Roman" w:hAnsi="Times New Roman"/>
          <w:sz w:val="18"/>
          <w:szCs w:val="18"/>
          <w:color w:val="auto"/>
        </w:rPr>
        <w:t>. The U.S. Tax Cuts and Jobs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was enacted on December 22, 2017 and resulted in a provisional tax expense of $30,273 in 2017 primarily due to the one-time transition tax on accumulated foreign subsidiary earnings and deferred tax impacts. For the year ended December 31, 2018, we recorded a $4,318 increase to tax expense related to provisional amounts recorded in 2017.</w:t>
      </w:r>
    </w:p>
    <w:p>
      <w:pPr>
        <w:spacing w:after="0" w:line="34" w:lineRule="exact"/>
        <w:rPr>
          <w:rFonts w:ascii="Times New Roman" w:cs="Times New Roman" w:eastAsia="Times New Roman" w:hAnsi="Times New Roman"/>
          <w:sz w:val="18"/>
          <w:szCs w:val="18"/>
          <w:color w:val="auto"/>
        </w:rPr>
      </w:pPr>
    </w:p>
    <w:p>
      <w:pPr>
        <w:ind w:left="1980" w:right="759" w:hanging="358"/>
        <w:spacing w:after="0" w:line="267"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benefit related to intercompany transactions</w:t>
      </w:r>
      <w:r>
        <w:rPr>
          <w:rFonts w:ascii="Times New Roman" w:cs="Times New Roman" w:eastAsia="Times New Roman" w:hAnsi="Times New Roman"/>
          <w:sz w:val="18"/>
          <w:szCs w:val="18"/>
          <w:color w:val="auto"/>
        </w:rPr>
        <w:t>.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we had intercompany sales of certain intangible operating assets between our foreign subsidiaries, which resulted in a non-recurring net tax benefit of $46,369.</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6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December 31, 2018 and 2019 and June 30, 2020:</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452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$ 81,183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$121,101</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125,516</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135,163</w:t>
            </w:r>
          </w:p>
        </w:tc>
        <w:tc>
          <w:tcPr>
            <w:tcW w:w="22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166,136</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104,275</w:t>
            </w:r>
          </w:p>
        </w:tc>
      </w:tr>
      <w:tr>
        <w:trPr>
          <w:trHeight w:val="25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994,599</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1,059,169</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337,451</w:t>
            </w:r>
          </w:p>
        </w:tc>
        <w:tc>
          <w:tcPr>
            <w:tcW w:w="22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213,145</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186,456</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233,750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22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334,619</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-1002665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-1002665</wp:posOffset>
            </wp:positionV>
            <wp:extent cx="3540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section titled “Selected Consolidated Financial Data” and our consolidated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“Cautionary Note Regarding Forward-Looking Statements” and “Risk Factors.”</w:t>
      </w:r>
    </w:p>
    <w:p>
      <w:pPr>
        <w:spacing w:after="0" w:line="11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294" w:lineRule="exact"/>
        <w:rPr>
          <w:sz w:val="20"/>
          <w:szCs w:val="20"/>
          <w:color w:val="auto"/>
        </w:rPr>
      </w:pPr>
    </w:p>
    <w:p>
      <w:pPr>
        <w:ind w:left="1800" w:right="759" w:hanging="178"/>
        <w:spacing w:after="0" w:line="257"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 /</w:t>
      </w:r>
      <w:r>
        <w:rPr>
          <w:rFonts w:ascii="Times New Roman" w:cs="Times New Roman" w:eastAsia="Times New Roman" w:hAnsi="Times New Roman"/>
          <w:sz w:val="18"/>
          <w:szCs w:val="18"/>
          <w:i w:val="1"/>
          <w:iCs w:val="1"/>
          <w:color w:val="auto"/>
        </w:rPr>
        <w:t xml:space="preserve">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4" w:lineRule="exact"/>
        <w:rPr>
          <w:rFonts w:ascii="Times New Roman" w:cs="Times New Roman" w:eastAsia="Times New Roman" w:hAnsi="Times New Roman"/>
          <w:sz w:val="18"/>
          <w:szCs w:val="18"/>
          <w:color w:val="auto"/>
        </w:rPr>
      </w:pPr>
    </w:p>
    <w:p>
      <w:pPr>
        <w:ind w:left="1800" w:right="1059" w:hanging="178"/>
        <w:spacing w:after="0" w:line="267"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jc w:val="both"/>
        <w:ind w:left="1800" w:right="1039" w:hanging="178"/>
        <w:spacing w:after="0" w:line="284"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93" w:lineRule="exact"/>
        <w:rPr>
          <w:sz w:val="20"/>
          <w:szCs w:val="20"/>
          <w:color w:val="auto"/>
        </w:rPr>
      </w:pPr>
    </w:p>
    <w:p>
      <w:pPr>
        <w:ind w:left="1260" w:right="879" w:firstLine="360"/>
        <w:spacing w:after="0" w:line="256"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w:t>
      </w:r>
    </w:p>
    <w:p>
      <w:pPr>
        <w:spacing w:after="0" w:line="106"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120"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2019 revenues.</w:t>
      </w:r>
    </w:p>
    <w:p>
      <w:pPr>
        <w:spacing w:after="0" w:line="9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Since its founding, Bentley Systems has remained focused on our mission to provide software in support of the professional needs of those responsible for creating and managing the world’s infrastructure.</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66" w:lineRule="auto"/>
        <w:rPr>
          <w:sz w:val="20"/>
          <w:szCs w:val="20"/>
          <w:color w:val="auto"/>
        </w:rPr>
      </w:pPr>
      <w:r>
        <w:rPr>
          <w:rFonts w:ascii="Times New Roman" w:cs="Times New Roman" w:eastAsia="Times New Roman" w:hAnsi="Times New Roman"/>
          <w:sz w:val="18"/>
          <w:szCs w:val="18"/>
          <w:color w:val="auto"/>
        </w:rPr>
        <w:t>We have methodically grown through periods of global expansion, periods of expansion in our portfolio of solutions, and periods of rapid technological change. The following provides key corporate milestones over our 35-year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97790</wp:posOffset>
            </wp:positionV>
            <wp:extent cx="5066030" cy="3308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6603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2019, under Topic 606, subscriptions represented 83% of our revenues, and together with certain professional services revenues that are recurring in nature and represented 3% of our revenues, bring the proportion of our recurring revenues to 86% of total revenues. The remaining 14% of our revenues were generated from the sale of perpetual licenses and the delivery of non-recurring professional services. We have a highly-diversified account base, with our largest account representing no more than 2.5% of total revenues in 2019. Our 2019 revenues were also diversified by account type, size, and geography. Additionally, we believe that we have a loyal account base, with 80% of our 2019 revenues from organizations that have been our accounts for over ten years. Between 2000 and 2019, our revenues had an approximately 8%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148" w:lineRule="exact"/>
        <w:rPr>
          <w:sz w:val="20"/>
          <w:szCs w:val="20"/>
          <w:color w:val="auto"/>
        </w:rPr>
      </w:pPr>
    </w:p>
    <w:p>
      <w:pPr>
        <w:ind w:left="1260" w:right="759" w:firstLine="360"/>
        <w:spacing w:after="0" w:line="239" w:lineRule="auto"/>
        <w:rPr>
          <w:sz w:val="20"/>
          <w:szCs w:val="20"/>
          <w:color w:val="auto"/>
        </w:rPr>
      </w:pPr>
      <w:r>
        <w:rPr>
          <w:rFonts w:ascii="Times New Roman" w:cs="Times New Roman" w:eastAsia="Times New Roman" w:hAnsi="Times New Roman"/>
          <w:sz w:val="18"/>
          <w:szCs w:val="18"/>
          <w:color w:val="auto"/>
        </w:rPr>
        <w:t>Our solutions are made available to our accounts in a broad range of commercial offerings designed to accommodate the diverse preferences of our accounts, which range from owned versus subscribed, short-term subscriptions versus longer term annual subscriptions, and fee-certain arrangements versus variable or consumption-based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113030</wp:posOffset>
            </wp:positionV>
            <wp:extent cx="4894580" cy="2014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9458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right="10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accompanies a new or previously purchased perpetual license. We believe that the SELECT benefits summarized below support our favorable rates of account retention and growth:</w:t>
      </w:r>
    </w:p>
    <w:p>
      <w:pPr>
        <w:spacing w:after="0" w:line="55" w:lineRule="exact"/>
        <w:rPr>
          <w:sz w:val="20"/>
          <w:szCs w:val="20"/>
          <w:color w:val="auto"/>
        </w:rPr>
      </w:pPr>
    </w:p>
    <w:p>
      <w:pPr>
        <w:ind w:left="1800" w:hanging="178"/>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117" w:lineRule="exact"/>
        <w:rPr>
          <w:rFonts w:ascii="Times New Roman" w:cs="Times New Roman" w:eastAsia="Times New Roman" w:hAnsi="Times New Roman"/>
          <w:sz w:val="18"/>
          <w:szCs w:val="18"/>
          <w:color w:val="auto"/>
        </w:rPr>
      </w:pPr>
    </w:p>
    <w:p>
      <w:pPr>
        <w:ind w:left="1800" w:right="939" w:hanging="178"/>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Azure-based cloud collaboration services, and mobility advantages; and</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entire application portfolio with usage of licenses not previously purchased monetized quarterly in arrears based on consumption. See the section titled “— Term License Subscriptions” below.</w:t>
      </w:r>
    </w:p>
    <w:p>
      <w:pPr>
        <w:spacing w:after="0" w:line="93" w:lineRule="exact"/>
        <w:rPr>
          <w:sz w:val="20"/>
          <w:szCs w:val="20"/>
          <w:color w:val="auto"/>
        </w:rPr>
      </w:pPr>
    </w:p>
    <w:p>
      <w:pPr>
        <w:ind w:left="1260" w:right="10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largest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unlimited global access to our comprehensive portfolio of solutions.</w:t>
      </w:r>
    </w:p>
    <w:p>
      <w:pPr>
        <w:spacing w:after="0" w:line="51" w:lineRule="exact"/>
        <w:rPr>
          <w:sz w:val="20"/>
          <w:szCs w:val="20"/>
          <w:color w:val="auto"/>
        </w:rPr>
      </w:pPr>
    </w:p>
    <w:p>
      <w:pPr>
        <w:ind w:left="1800" w:right="719" w:hanging="178"/>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Our ELS offering provides access to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solutions for a fixed annual fee. Subsequent annual renewals are based on the account’s usage of software in the preceding year, effectively an annual consumption-based arrangement. The majority of our ELS subscribers were historically SELECT subscribers that have grown into a position to take full advantage of our ELS offering.</w:t>
      </w:r>
    </w:p>
    <w:p>
      <w:pPr>
        <w:spacing w:after="0" w:line="75"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participating accounts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access to our comprehensive software portfolio, similar to ELS, however they are charged based upon daily usage, effectively a daily consumption-based arrangement. The daily usage fee also includes maintenance and Success Plan services, which are designed to achieve business outcomes through more efficient and effective use of our software. The E365 subscription offering was introduced in 2018. Prospectively, we plan to prioritize efforts to transition ELS subscribers to E365</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99"/>
        <w:spacing w:after="0" w:line="242" w:lineRule="auto"/>
        <w:rPr>
          <w:sz w:val="20"/>
          <w:szCs w:val="20"/>
          <w:color w:val="auto"/>
        </w:rPr>
      </w:pPr>
      <w:r>
        <w:rPr>
          <w:rFonts w:ascii="Times New Roman" w:cs="Times New Roman" w:eastAsia="Times New Roman" w:hAnsi="Times New Roman"/>
          <w:sz w:val="18"/>
          <w:szCs w:val="18"/>
          <w:color w:val="auto"/>
        </w:rPr>
        <w:t>subscriptions, primarily to simplify pricing, more closely align consumption to monetization, and to establish Success Plan services as recurring to ensure better business outcomes for our users. To the extent we succeed in transitioning subscribers to E365, under Topic 606 we would recognize a greater proportion of our revenues on a quarterly basis rather than substantially upfront. See the section titled “— Key Factors Impacting Comparability and Performance.”</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158"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user access to specific products and include our newly introduced Practitioner Licenses. Annual term licenses are also used to monetize site or enterprise wide access for certain of our AssetWise solutions within given usage bands.</w:t>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in arrears for licenses they have used representing usage beyond their contracted quantities. Much like our Enterprise subscription programs, a QTL allows smaller and medium-sized accounts to match usage to ongoing project requirements.</w:t>
      </w:r>
    </w:p>
    <w:p>
      <w:pPr>
        <w:spacing w:after="0" w:line="96" w:lineRule="exact"/>
        <w:rPr>
          <w:sz w:val="20"/>
          <w:szCs w:val="20"/>
          <w:color w:val="auto"/>
        </w:rPr>
      </w:pPr>
    </w:p>
    <w:p>
      <w:pPr>
        <w:ind w:left="1260" w:right="13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subscriptions, except for the term of the license, and the manner in which they are monetized. MTL subscriptions require a Cloud Services Subscription, which is discussed below.</w:t>
      </w:r>
    </w:p>
    <w:p>
      <w:pPr>
        <w:spacing w:after="0" w:line="107" w:lineRule="exact"/>
        <w:rPr>
          <w:sz w:val="20"/>
          <w:szCs w:val="20"/>
          <w:color w:val="auto"/>
        </w:rPr>
      </w:pPr>
    </w:p>
    <w:p>
      <w:pPr>
        <w:ind w:left="1260" w:right="8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specific project or enterprise information and entitle certain functionality of our ProjectWise and AssetWise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1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79"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Cloud Services Subscription (“CSS”). </w:t>
      </w:r>
      <w:r>
        <w:rPr>
          <w:rFonts w:ascii="Times New Roman" w:cs="Times New Roman" w:eastAsia="Times New Roman" w:hAnsi="Times New Roman"/>
          <w:sz w:val="18"/>
          <w:szCs w:val="18"/>
          <w:color w:val="auto"/>
        </w:rPr>
        <w:t>CSS is designed to streamline the procurement,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 process for us and our accounts. A 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revenues using subscription and subscription-like contractual structures to make up a greater proportion of our professional services revenues.</w:t>
      </w:r>
    </w:p>
    <w:p>
      <w:pPr>
        <w:spacing w:after="0" w:line="3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Examples of Typical Commercial Offering Combinations</w:t>
      </w:r>
    </w:p>
    <w:p>
      <w:pPr>
        <w:spacing w:after="0" w:line="146"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under Topic 606, 25% of our revenues derive from ELS or E365 offerings, and 36% of our revenues derive from SELECT subscriptions. Our users often add further sources of revenue upon each of these foundational subscription offerings. Typical examples are as follows:</w:t>
      </w:r>
    </w:p>
    <w:p>
      <w:pPr>
        <w:sectPr>
          <w:pgSz w:w="11900" w:h="16838" w:orient="portrait"/>
          <w:cols w:equalWidth="0" w:num="1">
            <w:col w:w="10139"/>
          </w:cols>
          <w:pgMar w:left="320" w:top="114"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78"/>
        <w:spacing w:after="0" w:line="25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contracts for its application solutions under its ELS or E365 as described above. In addition, if the account also utilizes our ProjectWise enterprise solution, it will estimate its prospective annual usage and make an incremental deposit into its CSS account. The CSS account will be drawn down quarterly based on actual usage and consumption of Passports and Visas. We deliver professional services for E365 accounts via the embedded Success Plan. An ELS account may contract for professional services under fixed fee or “days and rates” episodic arrangements billed separately, or it may contract for professional services in the form of Success Plans, which it pays for via its CSS.</w:t>
      </w:r>
    </w:p>
    <w:p>
      <w:pPr>
        <w:spacing w:after="0" w:line="296" w:lineRule="exact"/>
        <w:rPr>
          <w:rFonts w:ascii="Times New Roman" w:cs="Times New Roman" w:eastAsia="Times New Roman" w:hAnsi="Times New Roman"/>
          <w:sz w:val="18"/>
          <w:szCs w:val="18"/>
          <w:color w:val="auto"/>
        </w:rPr>
      </w:pPr>
    </w:p>
    <w:p>
      <w:pPr>
        <w:ind w:left="1800" w:right="699" w:hanging="178"/>
        <w:spacing w:after="0" w:line="25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 subscription account pays a fixed annual subscription fee based on the number of perpetual licenses for applications which it owns. The account may purchase additional perpetual licenses to which an additional annual SELECT subscription fee will apply for each. Alternatively, the account may grow its application use via term licenses, which will be billed quarterly in arrears based on actual term license consumption. Alternatively, the account may estimate its annual term license requirements and make a deposit into its CSS account, with quarterly draw down based on actual usage and consumption. Contracting for term license usage via the CSS provides the account a slight economic advantage. Similar to the ELS or E365 subscriber, if the SELECT subscriber also utilizes our ProjectWise enterprise system, prospective annual usage will be estimated and a deposit made into a CSS account. The CSS account will be drawn down quarterly based on actual usage and consumption of Passports and Visas. For any professional services, the account may contract for professional services under fixed fee or “days and rates” episodic arrangements billed separately, or it may contract for professional services in the form of Success Plans, which it will pay for via its CSS.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$521,923</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$586,466</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$631,097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4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$583,402</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$636,899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$670,825</w:t>
            </w:r>
          </w:p>
        </w:tc>
        <w:tc>
          <w:tcPr>
            <w:tcW w:w="140" w:type="dxa"/>
            <w:vAlign w:val="bottom"/>
          </w:tcPr>
          <w:p>
            <w:pPr>
              <w:spacing w:after="0"/>
              <w:rPr>
                <w:sz w:val="20"/>
                <w:szCs w:val="20"/>
                <w:color w:val="auto"/>
              </w:rPr>
            </w:pP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-1396365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-1396365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-1396365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-1396365</wp:posOffset>
            </wp:positionV>
            <wp:extent cx="30429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0"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2018, see the section titled “Selected Consolidated Financial Data — Non-GAAP Financial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Measures.”</w:t>
      </w:r>
    </w:p>
    <w:p>
      <w:pPr>
        <w:spacing w:after="0" w:line="139" w:lineRule="exact"/>
        <w:rPr>
          <w:sz w:val="20"/>
          <w:szCs w:val="20"/>
          <w:color w:val="auto"/>
        </w:rPr>
      </w:pPr>
    </w:p>
    <w:p>
      <w:pPr>
        <w:ind w:left="1260" w:right="699" w:firstLine="360"/>
        <w:spacing w:after="0" w:line="275"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“Key Factors Impacting Comparability and Performance.”</w:t>
      </w:r>
    </w:p>
    <w:p>
      <w:pPr>
        <w:spacing w:after="0" w:line="10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124"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7"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330"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120"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21"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7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3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0"/>
        </w:trPr>
        <w:tc>
          <w:tcPr>
            <w:tcW w:w="37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1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r>
      <w:tr>
        <w:trPr>
          <w:trHeight w:val="200"/>
        </w:trPr>
        <w:tc>
          <w:tcPr>
            <w:tcW w:w="37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$186,598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$79,384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115,506</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$135,471</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$59,978</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-333375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-333375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-333375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-333375</wp:posOffset>
            </wp:positionV>
            <wp:extent cx="29660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7"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146"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i w:val="1"/>
          <w:iCs w:val="1"/>
          <w:color w:val="auto"/>
        </w:rPr>
        <w:t xml:space="preserve">Impact of Topics 606 and 340-40. </w:t>
      </w:r>
      <w:r>
        <w:rPr>
          <w:rFonts w:ascii="Times New Roman" w:cs="Times New Roman" w:eastAsia="Times New Roman" w:hAnsi="Times New Roman"/>
          <w:sz w:val="18"/>
          <w:szCs w:val="18"/>
          <w:color w:val="auto"/>
        </w:rPr>
        <w:t>On January 1, 2019, we adopted Topic 606, which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has not been adjusted and continues to be reported under Topic 605.</w:t>
      </w:r>
    </w:p>
    <w:p>
      <w:pPr>
        <w:spacing w:after="0" w:line="32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most significant impact from the adoption of Topic 606 relates to timing of revenue recognition for perpetual licenses and the accounting for certain of our subscription arrangements that include term-based software licenses bundled with support. Under Topic 605, revenue for perpetual licenses was recognized over a three- year period, while revenue attributable to the term -based software licenses was recognized ratably over the term. Under Topic 606, both perpetual license and prepaid term-based software license revenue will be recognized upfront upon delivery of the software license. Revenue recognition related to support, hosting, usage-based offerings, and services is substantially unchanged, with support and hosting revenue recorded ratably over the contract term, usage-based revenue recognized upon usage or delivery, and services revenue as delivered.</w:t>
      </w:r>
    </w:p>
    <w:p>
      <w:pPr>
        <w:spacing w:after="0" w:line="315"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On an annual and trailing twelve-month basis, we expect our subscriptions revenues recognized under Topic 606 to be comparable to such revenues recognized under Topic 605. This expectation is attributable to the annual, recurring nature of our subscription agreements. However, quarterly subscription revenue and profitability trends will be impacted by the subscription term as well as the term start date of new and renewals subscriptions, due to the upfront revenue recognition of the associated term-license component. See the sections titled “— Quarterly Results of Operations” and “— Quarterly Trends” below.</w:t>
      </w:r>
    </w:p>
    <w:p>
      <w:pPr>
        <w:spacing w:after="0" w:line="103"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Under Topic 605, our perpetual licenses revenues were recognized over a three- year period due to the portfolio balancing feature users obtain through their SELECT subscriptions. Under Topic 606, our perpetual licenses revenues are recognized upon delivery and will closely align with the respective license sales of the period.</w:t>
      </w:r>
    </w:p>
    <w:p>
      <w:pPr>
        <w:spacing w:after="0" w:line="113"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Further, under Topic 606, the conversion of our existing subscription users to consumption-based offerings with consumption measurement durations of less than one year, such as our E365 program, will introduce some volatility between annual, quarterly, and trailing twelve-month periods and impact period over period comparability. This effect is because the term-based software license is recognized upfront upon delivery for prepaid subscription- based offerings, but upon usage for consumption-based offerings. For example, if an account renews an annual ELS at the beginning of July 2019, then we will recognize in 2019 the term-based software license of the annual subscription upon renewal for the twelve- month period from July 1, 2019 to June 30, 2020. However, if such account instead switches from our ELS offering to our consumption based E365 offering, then we will only recognize the distinct license component for the consumption period from July 1, 2019 to December 31, 2019 in 2019.</w:t>
      </w:r>
    </w:p>
    <w:p>
      <w:pPr>
        <w:spacing w:after="0" w:line="12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for the year ended December 31, 2019 included elsewhere in this prospectus for further information on the impact upon adoption of Topics 606 and 340-40 as of January 1, 2019.</w:t>
      </w:r>
    </w:p>
    <w:p>
      <w:pPr>
        <w:spacing w:after="0" w:line="9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i w:val="1"/>
          <w:iCs w:val="1"/>
          <w:color w:val="auto"/>
        </w:rPr>
        <w:t xml:space="preserve">Impact of foreign currency. </w:t>
      </w:r>
      <w:r>
        <w:rPr>
          <w:rFonts w:ascii="Times New Roman" w:cs="Times New Roman" w:eastAsia="Times New Roman" w:hAnsi="Times New Roman"/>
          <w:sz w:val="18"/>
          <w:szCs w:val="18"/>
          <w:color w:val="auto"/>
        </w:rPr>
        <w:t>A portion of our revenues and operating expenses were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United States and as such, were denominated in various foreign currencies, including most significantly: Euros, British Pounds, Australian Dollars, Canadian Dollars, and Chinese Yuan Renminbi. Our financial results are therefore affected by changes in foreign currency rates. In 2019, 47% of our revenues were denominated in various foreign currencies. Correspondingly, in 2019, 46%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317"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 to</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41" w:lineRule="auto"/>
        <w:rPr>
          <w:sz w:val="20"/>
          <w:szCs w:val="20"/>
          <w:color w:val="auto"/>
        </w:rPr>
      </w:pPr>
      <w:r>
        <w:rPr>
          <w:rFonts w:ascii="Times New Roman" w:cs="Times New Roman" w:eastAsia="Times New Roman" w:hAnsi="Times New Roman"/>
          <w:sz w:val="18"/>
          <w:szCs w:val="18"/>
          <w:color w:val="auto"/>
        </w:rPr>
        <w:t>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01"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Historically, we have enhanced our business with acquisitions of businesses,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technologies. Going forward, we plan to selectively acquire adjacent software solutions that can be sold broadly across our account base, as well as to acquire new technologies that we can leverage across our existing software solution portfolio. We completed seven, four, two, and three acquisitions during the years ended December 31, 2018 and December 31, 2019 and the six months ended June 30, 2019 and 2020, respectively.</w:t>
      </w:r>
    </w:p>
    <w:p>
      <w:pPr>
        <w:spacing w:after="0" w:line="11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Rule 3- 05 of Regulation S-X, separate financial statements are not required for any of our acquisitions individually or in the aggregate.</w:t>
      </w:r>
    </w:p>
    <w:p>
      <w:pPr>
        <w:spacing w:after="0" w:line="93" w:lineRule="exact"/>
        <w:rPr>
          <w:sz w:val="20"/>
          <w:szCs w:val="20"/>
          <w:color w:val="auto"/>
        </w:rPr>
      </w:pPr>
    </w:p>
    <w:p>
      <w:pPr>
        <w:ind w:left="1260" w:right="919" w:firstLine="36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U.S. Tax Cuts and Jobs Act was enacted on December 22, 2017 and resulted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provisional tax expense primarily due to the one-time transition tax on accumulated foreign subsidiary earnings and deferred tax impacts. We completed the accounting for the effects of the U.S. Tax Cuts and Jobs Act in the year ended December 31, 2018 and recorded a $4,318 increase to tax expense related to provisional amounts recorded in 2017. In October 2018, we had intercompany sales of certain intangible operating assets between our foreign subsidiaries, which resulted in a non-recurring net tax benefit of $46,369.</w:t>
      </w:r>
    </w:p>
    <w:p>
      <w:pPr>
        <w:spacing w:after="0" w:line="311"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In March 2020, the World Health Organization declared a global pandemic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rapidly growing outbreak of the disease COVID-19, caused by a novel strain of coronavirus, SARS-CoV-2. The COVID -19 outbreak and certain preventative or protective actions that governments, businesses and individuals have taken in respect of COVID-19 have resulted in global business disruptions.</w:t>
      </w:r>
    </w:p>
    <w:p>
      <w:pPr>
        <w:spacing w:after="0" w:line="11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 More recently, we have also experienced a modest decrease in revenues from certain accounts in the oil and gas industry that utilize our E365 subscription offering.</w:t>
      </w:r>
    </w:p>
    <w:p>
      <w:pPr>
        <w:spacing w:after="0" w:line="10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facilitate collaboration in their own businesses in remote working environments. This guidance and assistance was well received by accounts and we believe helped maximize usage during the observed trough in March and April.</w:t>
      </w:r>
    </w:p>
    <w:p>
      <w:pPr>
        <w:spacing w:after="0" w:line="96"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 invested in a portfolio of businesses outside of our core software business, with the objective of cultivating an ecosystem of digital integrator businesses.</w:t>
      </w:r>
    </w:p>
    <w:p>
      <w:pPr>
        <w:spacing w:after="0" w:line="113"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jc w:val="both"/>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5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annual recurring subscriptions that accounts can elect to add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subscriptions revenues are recognized as distinct performance obligations are satisfied. Under Topic 605, SELECT subscriptions revenue was recognized on a ratable basis, over the subscription term.</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that provides our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with complete and unlimited global access to our comprehensive portfolio of solutions. ELS provides access for a prepaid annual fee. E365, which was introduced during the fourth quarter of 2018, provides unrestricted access to our comprehensive software portfolio, similar to ELS, however is charged based upon daily usage. The daily usage fee also includes maintenance and Success Plan services, which are designed to achieve business outcomes through more efficient and effective use of our software. The ELS and E365 programs both contain a distinct term license component. Under Topic 606, ELS revenue is recognized as the distinct performance obligations are satisfied. Under Topic 605, ELS revenue was recognized on a ratable basis, over the subscription term. E365 revenue is recognized based upon usage incurred by the account under both Topic 606 and 605.</w:t>
      </w:r>
    </w:p>
    <w:p>
      <w:pPr>
        <w:spacing w:after="0" w:line="297"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We provide annual, quarterly, and monthly term licenses for our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ATL subscriptions are generally 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32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accounts to access specific project or enterprise information and entitle certain functionality of our ProjectWise and AssetWise systems. Our standard offerings are usage based with monetization through our CSS program. Under Topic 606, annual, quarterly, and monthly term licenses revenues are recognized as the distinct performance obligations for each are satisfied.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Under Topic 605, the subscriptions revenues were recognized on a ratable basis, over the subscription term. QTL, MTL, Visas and Passports subscriptions are recognized based upon usage incurred by the account under both Topic 606 and 605.</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3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 under Topic 606. Under Topic 605, we recognized perpetual licenses revenues ratably over a three-year term due to the portfolio balancing feature users obtain through their SELECT subscriptions.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services in the form of subscription-like, packaged offerings that are annually recurring in nature, and</w:t>
      </w:r>
    </w:p>
    <w:p>
      <w:pPr>
        <w:spacing w:after="0" w:line="2" w:lineRule="exact"/>
        <w:rPr>
          <w:sz w:val="20"/>
          <w:szCs w:val="20"/>
          <w:color w:val="auto"/>
        </w:rPr>
      </w:pPr>
    </w:p>
    <w:p>
      <w:pPr>
        <w:jc w:val="both"/>
        <w:ind w:left="1260" w:right="719" w:firstLine="2"/>
        <w:spacing w:after="0"/>
        <w:tabs>
          <w:tab w:leader="none" w:pos="15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 under both Topic 606 and 605.</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travel-related costs. Our headcount-related costs are variable in nature. We actively manage these costs to align to our trending run rate of revenue performance, with the objective of enhancing visibility and predictability of resulting operating profit margins.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subscriptions, licenses, and services</w:t>
      </w:r>
    </w:p>
    <w:p>
      <w:pPr>
        <w:spacing w:after="0" w:line="160" w:lineRule="exact"/>
        <w:rPr>
          <w:sz w:val="20"/>
          <w:szCs w:val="20"/>
          <w:color w:val="auto"/>
        </w:rPr>
      </w:pPr>
    </w:p>
    <w:p>
      <w:pPr>
        <w:ind w:left="1260" w:right="11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Cost of subscriptions and licenses includes salaries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including the 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accounts using cloud deployed hosted solutions and our license administration platform.</w:t>
      </w:r>
    </w:p>
    <w:p>
      <w:pPr>
        <w:spacing w:after="0" w:line="116"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includes salaries for internal and third-party personnel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overhead costs, including depreciation of property and equipment, for providing training, implementation, configuration, and customization services to accounts, amortization of capitalized software costs, and related out-of-pocket expenses incurred.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which are generally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primarily consist of personnel and related costs of our research and development staff, including</w:t>
      </w:r>
    </w:p>
    <w:p>
      <w:pPr>
        <w:sectPr>
          <w:pgSz w:w="11900" w:h="16838" w:orient="portrait"/>
          <w:cols w:equalWidth="0" w:num="1">
            <w:col w:w="10139"/>
          </w:cols>
          <w:pgMar w:left="320" w:top="114"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1" w:lineRule="auto"/>
        <w:rPr>
          <w:sz w:val="20"/>
          <w:szCs w:val="20"/>
          <w:color w:val="auto"/>
        </w:rPr>
      </w:pPr>
      <w:r>
        <w:rPr>
          <w:rFonts w:ascii="Times New Roman" w:cs="Times New Roman" w:eastAsia="Times New Roman" w:hAnsi="Times New Roman"/>
          <w:sz w:val="18"/>
          <w:szCs w:val="18"/>
          <w:color w:val="auto"/>
        </w:rPr>
        <w:t>salaries, benefits, bonuses, stock-based compensation, and costs of certain third-party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103"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capitalize certain development costs related to certain projects under our ACDP (our structured approach to an in-house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 -risk development issues. Once the software is ready for its intended use, amortization is recorded over the software’s estimated useful life (generally three years). During the years ended December 31, 2018 and December 31, 2019 and the six months ended June 30, 2019 and June 30, 2020, total costs capitalized under the ACDP were $5,735, $6,060, $2,181 and $4,260, respectively. Additionally, during the years ended December 31, 2018 and December 31, 2019 and the six months ended June 30, 2019 and June 30, 2020, total ACDP related amortization recorded in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subscriptions and licenses </w:t>
      </w:r>
      <w:r>
        <w:rPr>
          <w:rFonts w:ascii="Times New Roman" w:cs="Times New Roman" w:eastAsia="Times New Roman" w:hAnsi="Times New Roman"/>
          <w:sz w:val="18"/>
          <w:szCs w:val="18"/>
          <w:color w:val="auto"/>
        </w:rPr>
        <w:t>was $2,052, $3,516, $1,448 and $2,022, respectively.</w:t>
      </w:r>
    </w:p>
    <w:p>
      <w:pPr>
        <w:spacing w:after="0" w:line="116" w:lineRule="exact"/>
        <w:rPr>
          <w:sz w:val="20"/>
          <w:szCs w:val="20"/>
          <w:color w:val="auto"/>
        </w:rPr>
      </w:pPr>
    </w:p>
    <w:p>
      <w:pPr>
        <w:ind w:left="1260" w:right="779"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include salaries, benefits, bonuses, and stock-based compensation expense for our selling and marketing colleagues, the expense of travel, entertainment and training for such personnel, online marketing, product marketing and other brand-building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Topic 340 -40 requires the capitalization of certain incremental costs of obtaining a contract, which impacts the period in which we record sales commission expense. Historically, under Topic 605, we recognized commissions expense as incurred. Under Topic 340-40, we are required to recognize these expenses over the period of benefit associated with these costs, resulting in a deferral of certain contract costs each period. The contract costs are amortized based on the economic life of the goods and services to which the contract costs relate. We have determined that certain sales incentive programs meet the requirements to be capitalized.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116" w:lineRule="exact"/>
        <w:rPr>
          <w:sz w:val="20"/>
          <w:szCs w:val="20"/>
          <w:color w:val="auto"/>
        </w:rPr>
      </w:pPr>
    </w:p>
    <w:p>
      <w:pPr>
        <w:jc w:val="both"/>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-based compensation expense for our finance, human resources, and legal colleagues, the expense of travel, entertainment, and training for such personnel, professional fees for legal and accounting services, and costs of computer equipment and facilities used in general and administrative activities.</w:t>
      </w:r>
    </w:p>
    <w:p>
      <w:pPr>
        <w:spacing w:after="0" w:line="98" w:lineRule="exact"/>
        <w:rPr>
          <w:sz w:val="20"/>
          <w:szCs w:val="20"/>
          <w:color w:val="auto"/>
        </w:rPr>
      </w:pPr>
    </w:p>
    <w:p>
      <w:pPr>
        <w:ind w:left="1260" w:right="939" w:firstLine="360"/>
        <w:spacing w:after="0" w:line="246" w:lineRule="auto"/>
        <w:rPr>
          <w:sz w:val="20"/>
          <w:szCs w:val="20"/>
          <w:color w:val="auto"/>
        </w:rPr>
      </w:pPr>
      <w:r>
        <w:rPr>
          <w:rFonts w:ascii="Times New Roman" w:cs="Times New Roman" w:eastAsia="Times New Roman" w:hAnsi="Times New Roman"/>
          <w:sz w:val="18"/>
          <w:szCs w:val="18"/>
          <w:color w:val="auto"/>
        </w:rPr>
        <w:t>We expect to recognize certain non- recurring costs as part of our transition to a publicly-traded company, consisting of professional fees and other expenses. These fees are being expensed in the period</w:t>
      </w:r>
    </w:p>
    <w:p>
      <w:pPr>
        <w:spacing w:after="0" w:line="1" w:lineRule="exact"/>
        <w:rPr>
          <w:sz w:val="20"/>
          <w:szCs w:val="20"/>
          <w:color w:val="auto"/>
        </w:rPr>
      </w:pPr>
    </w:p>
    <w:p>
      <w:pPr>
        <w:ind w:left="1260" w:right="699"/>
        <w:spacing w:after="0" w:line="234" w:lineRule="auto"/>
        <w:rPr>
          <w:sz w:val="20"/>
          <w:szCs w:val="20"/>
          <w:color w:val="auto"/>
        </w:rPr>
      </w:pPr>
      <w:r>
        <w:rPr>
          <w:rFonts w:ascii="Times New Roman" w:cs="Times New Roman" w:eastAsia="Times New Roman" w:hAnsi="Times New Roman"/>
          <w:sz w:val="18"/>
          <w:szCs w:val="18"/>
          <w:color w:val="auto"/>
        </w:rPr>
        <w:t>incurred. We expect to incur $ in audit fees, $ in legal fees and expenses and $ in underwriting discounts and commissions applicable to the sale of shares by the selling stockholders in connection with this offering. Following the completion of this offering,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w:t>
      </w:r>
    </w:p>
    <w:p>
      <w:pPr>
        <w:spacing w:after="0" w:line="6" w:lineRule="exact"/>
        <w:rPr>
          <w:sz w:val="20"/>
          <w:szCs w:val="20"/>
          <w:color w:val="auto"/>
        </w:rPr>
      </w:pPr>
    </w:p>
    <w:p>
      <w:pPr>
        <w:jc w:val="both"/>
        <w:ind w:left="1260" w:right="1259"/>
        <w:spacing w:after="0" w:line="239" w:lineRule="auto"/>
        <w:rPr>
          <w:sz w:val="20"/>
          <w:szCs w:val="20"/>
          <w:color w:val="auto"/>
        </w:rPr>
      </w:pPr>
      <w:r>
        <w:rPr>
          <w:rFonts w:ascii="Times New Roman" w:cs="Times New Roman" w:eastAsia="Times New Roman" w:hAnsi="Times New Roman"/>
          <w:sz w:val="18"/>
          <w:szCs w:val="18"/>
          <w:color w:val="auto"/>
        </w:rPr>
        <w:t>a percentage of our revenues over time, although the percentage may fluctuate from period to period depending on fluctuations in our revenue and the timing and extent of our general and administrative expenses.</w:t>
      </w:r>
    </w:p>
    <w:p>
      <w:pPr>
        <w:spacing w:after="0" w:line="116" w:lineRule="exact"/>
        <w:rPr>
          <w:sz w:val="20"/>
          <w:szCs w:val="20"/>
          <w:color w:val="auto"/>
        </w:rPr>
      </w:pPr>
    </w:p>
    <w:p>
      <w:pPr>
        <w:jc w:val="both"/>
        <w:ind w:left="1260" w:right="15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acquired non- product related intangible assets, primarily customer relationships, trademarks, and non-compete agreements recorded in connection with completed acquisitions.</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primarily represents interest associated with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amortization of deferred financing costs, and interest income from our investments in money market funds.</w:t>
      </w:r>
    </w:p>
    <w:p>
      <w:pPr>
        <w:spacing w:after="0" w:line="92" w:lineRule="exact"/>
        <w:rPr>
          <w:sz w:val="20"/>
          <w:szCs w:val="20"/>
          <w:color w:val="auto"/>
        </w:rPr>
      </w:pPr>
    </w:p>
    <w:p>
      <w:pPr>
        <w:ind w:left="1260" w:right="9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primarily consists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translation results derived primarily from U.S. Dollar denominated intercompany balances, cash and cash equivalents, and accounts receivable held by foreign subsidiaries with non-U.S. Dollar functional currencies.</w:t>
      </w:r>
    </w:p>
    <w:p>
      <w:pPr>
        <w:spacing w:after="0" w:line="329" w:lineRule="exact"/>
        <w:rPr>
          <w:sz w:val="20"/>
          <w:szCs w:val="20"/>
          <w:color w:val="auto"/>
        </w:rPr>
      </w:pPr>
    </w:p>
    <w:p>
      <w:pPr>
        <w:ind w:left="1260" w:right="9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includes the aggregate consolidated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for U.S. domestic and foreign income taxes.</w:t>
      </w:r>
    </w:p>
    <w:p>
      <w:pPr>
        <w:spacing w:after="0" w:line="91"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loss of joint venture, net of tax. </w:t>
      </w:r>
      <w:r>
        <w:rPr>
          <w:rFonts w:ascii="Times New Roman" w:cs="Times New Roman" w:eastAsia="Times New Roman" w:hAnsi="Times New Roman"/>
          <w:sz w:val="18"/>
          <w:szCs w:val="18"/>
          <w:color w:val="auto"/>
        </w:rPr>
        <w:t>Equity in loss of joint venture includes our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loss in a joint venture accounted for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1260" w:right="18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3380" w:type="dxa"/>
            <w:vAlign w:val="bottom"/>
            <w:gridSpan w:val="6"/>
          </w:tcPr>
          <w:p>
            <w:pPr>
              <w:jc w:val="right"/>
              <w:ind w:right="1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3380" w:type="dxa"/>
            <w:vAlign w:val="bottom"/>
            <w:gridSpan w:val="6"/>
          </w:tcPr>
          <w:p>
            <w:pPr>
              <w:jc w:val="right"/>
              <w:ind w:right="2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5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2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2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54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54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per share attributable to</w:t>
            </w: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A and Class B common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5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35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3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260" w:type="dxa"/>
            <w:vAlign w:val="bottom"/>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3540" w:type="dxa"/>
            <w:vAlign w:val="bottom"/>
            <w:gridSpan w:val="2"/>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2"/>
                <w:szCs w:val="22"/>
                <w:color w:val="auto"/>
              </w:rPr>
            </w:pPr>
          </w:p>
        </w:tc>
        <w:tc>
          <w:tcPr>
            <w:tcW w:w="35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-3368040</wp:posOffset>
            </wp:positionV>
            <wp:extent cx="145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-3368040</wp:posOffset>
            </wp:positionV>
            <wp:extent cx="1460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-3368040</wp:posOffset>
            </wp:positionV>
            <wp:extent cx="30175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-4053840</wp:posOffset>
            </wp:positionV>
            <wp:extent cx="1454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-4053840</wp:posOffset>
            </wp:positionV>
            <wp:extent cx="1460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-4053840</wp:posOffset>
            </wp:positionV>
            <wp:extent cx="30175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-5065395</wp:posOffset>
            </wp:positionV>
            <wp:extent cx="145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-5065395</wp:posOffset>
            </wp:positionV>
            <wp:extent cx="1460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-5065395</wp:posOffset>
            </wp:positionV>
            <wp:extent cx="30175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-5751195</wp:posOffset>
            </wp:positionV>
            <wp:extent cx="1454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-5751195</wp:posOffset>
            </wp:positionV>
            <wp:extent cx="1460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-5751195</wp:posOffset>
            </wp:positionV>
            <wp:extent cx="30175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-6779895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-6779895</wp:posOffset>
            </wp:positionV>
            <wp:extent cx="137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-6779895</wp:posOffset>
            </wp:positionV>
            <wp:extent cx="30086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0863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June 30, 2020</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$290,147</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$327,837</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$37,690</w:t>
            </w:r>
          </w:p>
        </w:tc>
        <w:tc>
          <w:tcPr>
            <w:tcW w:w="2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20" w:type="dxa"/>
            <w:vAlign w:val="bottom"/>
          </w:tcPr>
          <w:p>
            <w:pPr>
              <w:spacing w:after="0"/>
              <w:rPr>
                <w:sz w:val="22"/>
                <w:szCs w:val="22"/>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(1,275)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2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20" w:type="dxa"/>
            <w:vAlign w:val="bottom"/>
          </w:tcPr>
          <w:p>
            <w:pPr>
              <w:spacing w:after="0"/>
              <w:rPr>
                <w:sz w:val="22"/>
                <w:szCs w:val="22"/>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(4,579)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$347,144</w:t>
            </w:r>
          </w:p>
        </w:tc>
        <w:tc>
          <w:tcPr>
            <w:tcW w:w="24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$378,980</w:t>
            </w:r>
          </w:p>
        </w:tc>
        <w:tc>
          <w:tcPr>
            <w:tcW w:w="220" w:type="dxa"/>
            <w:vAlign w:val="bottom"/>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$31,836</w:t>
            </w:r>
          </w:p>
        </w:tc>
        <w:tc>
          <w:tcPr>
            <w:tcW w:w="22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-719455</wp:posOffset>
            </wp:positionV>
            <wp:extent cx="52120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-376555</wp:posOffset>
            </wp:positionV>
            <wp:extent cx="52120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-1053465</wp:posOffset>
            </wp:positionV>
            <wp:extent cx="4826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9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Total revenues increased by $31,836, or 9.2%, to $ 378,980 for the six months ended June 30, 2020. This increase was driven primarily by improvements in our organic performance of $25,182, and to a lesser extent, the impact from acquisitions of $11,384, partially offset by negative foreign currency effects due to a stronger U.S. Dollar relative to our other functional currencies of $4,730. On a constant currency basis, our revenues increased by 10.5% for the six months ended June 30, 2020 as compared to the prior period.</w:t>
      </w:r>
    </w:p>
    <w:p>
      <w:pPr>
        <w:spacing w:after="0" w:line="61" w:lineRule="exact"/>
        <w:rPr>
          <w:sz w:val="20"/>
          <w:szCs w:val="20"/>
          <w:color w:val="auto"/>
        </w:rPr>
      </w:pPr>
    </w:p>
    <w:p>
      <w:pPr>
        <w:ind w:left="1800" w:right="739" w:hanging="178"/>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Subscriptions revenues increased by $37,690, or 13.0%,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as compared to the six months ended June 30, 2019. This increase was driven primarily by improvements in our organic performance of $35,510, and to a lesser extent, the impact from acquisitions of $5,980, partially offset by negative foreign currency effects due to a stronger U.S. Dollar relative to our other functional currencies of $3,800. On a constant currency basis, our subscriptions revenues increased by 14.3% for the six months ended June 30, 2020 as compared to the prior period.</w:t>
      </w:r>
    </w:p>
    <w:p>
      <w:pPr>
        <w:spacing w:after="0" w:line="337" w:lineRule="exact"/>
        <w:rPr>
          <w:rFonts w:ascii="Times New Roman" w:cs="Times New Roman" w:eastAsia="Times New Roman" w:hAnsi="Times New Roman"/>
          <w:sz w:val="18"/>
          <w:szCs w:val="18"/>
          <w:color w:val="auto"/>
        </w:rPr>
      </w:pPr>
    </w:p>
    <w:p>
      <w:pPr>
        <w:ind w:left="1800" w:right="67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110%. Approximately 3% of the increase was attributed to new accounts. Approximately 50% of our organic performance expansion was driven by ProjectWise and civil design products.</w:t>
      </w:r>
    </w:p>
    <w:p>
      <w:pPr>
        <w:spacing w:after="0" w:line="57" w:lineRule="exact"/>
        <w:rPr>
          <w:rFonts w:ascii="Times New Roman" w:cs="Times New Roman" w:eastAsia="Times New Roman" w:hAnsi="Times New Roman"/>
          <w:sz w:val="18"/>
          <w:szCs w:val="18"/>
          <w:color w:val="auto"/>
        </w:rPr>
      </w:pPr>
    </w:p>
    <w:p>
      <w:pPr>
        <w:ind w:left="1800" w:right="679" w:hanging="178"/>
        <w:spacing w:after="0" w:line="257"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Perpetual licenses revenues decreased by $1,275, or 5.2%,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2020 as compared to the six months ended June 30, 2019. This decrease was driven by a reduction in our organic performance of $1,893, as well as by negative foreign currency effects due to a stronger U.S. Dollar relative to our other functional currencies of $570, partially offset by the impact from acquisitions of $1,188. On a constant currency basis, our perpetual licenses revenues decreased by 2.9% for the six months ended June 30, 2020 as compared to the prior period.</w:t>
      </w:r>
    </w:p>
    <w:p>
      <w:pPr>
        <w:spacing w:after="0" w:line="116" w:lineRule="exact"/>
        <w:rPr>
          <w:rFonts w:ascii="Times New Roman" w:cs="Times New Roman" w:eastAsia="Times New Roman" w:hAnsi="Times New Roman"/>
          <w:sz w:val="18"/>
          <w:szCs w:val="18"/>
          <w:color w:val="auto"/>
        </w:rPr>
      </w:pPr>
    </w:p>
    <w:p>
      <w:pPr>
        <w:ind w:left="1800" w:right="10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a decrease in organic performance during the three months ended June 30, 2020 as certain accounts delayed purchase decisions or shifted spend to subscription solutions due to COVID-19.</w:t>
      </w:r>
    </w:p>
    <w:p>
      <w:pPr>
        <w:spacing w:after="0" w:line="66" w:lineRule="exact"/>
        <w:rPr>
          <w:rFonts w:ascii="Times New Roman" w:cs="Times New Roman" w:eastAsia="Times New Roman" w:hAnsi="Times New Roman"/>
          <w:sz w:val="18"/>
          <w:szCs w:val="18"/>
          <w:color w:val="auto"/>
        </w:rPr>
      </w:pPr>
    </w:p>
    <w:p>
      <w:pPr>
        <w:ind w:left="1800" w:right="679" w:hanging="178"/>
        <w:spacing w:after="0" w:line="257"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Services revenues decreased by $4,579, or 14.1%, for the six months ended June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six months ended June 30, 2019. This decrease was driven primarily by a reduction in our organic performance of $8,435, as well as by negative foreign currency effects due to a stronger U.S. Dollar relative to our other functional currencies of $360, partially offset by the impact from acquisitions of $4,216. On a constant currency basis, our services revenues decreased by 13.0% for the six months ended June 30, 2020 as compared to the prior period.</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979"/>
        <w:spacing w:after="0" w:line="258" w:lineRule="auto"/>
        <w:rPr>
          <w:sz w:val="20"/>
          <w:szCs w:val="20"/>
          <w:color w:val="auto"/>
        </w:rPr>
      </w:pPr>
      <w:r>
        <w:rPr>
          <w:rFonts w:ascii="Times New Roman" w:cs="Times New Roman" w:eastAsia="Times New Roman" w:hAnsi="Times New Roman"/>
          <w:sz w:val="18"/>
          <w:szCs w:val="18"/>
          <w:color w:val="auto"/>
        </w:rPr>
        <w:t>The decrease in organic performance was primarily due to the winding down or completion of several larger services projects during 2019 and early 2020, COVID-19 related delays of new projects while social distancing measures are in place, the inclusion of learning benefits in our subscription offerings, and the partial redeployment of our services colleagues to support Success Plan services of our E365 subscription offering.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46"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Comparison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8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$167,440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$185,838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$18,398   11.0%   11.4%</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3"/>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76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by geographic area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$347,144</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$378,980</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$31,836</w:t>
            </w: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-205105</wp:posOffset>
            </wp:positionV>
            <wp:extent cx="8743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-205105</wp:posOffset>
            </wp:positionV>
            <wp:extent cx="1631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3604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48260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22" w:lineRule="exact"/>
        <w:rPr>
          <w:sz w:val="20"/>
          <w:szCs w:val="20"/>
          <w:color w:val="auto"/>
        </w:rPr>
      </w:pPr>
    </w:p>
    <w:p>
      <w:pPr>
        <w:ind w:left="1800" w:right="679" w:hanging="178"/>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Revenues from the Americas increased by $18,398, or 11.0%,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as compared to the six months ended June 30, 2019. This increase was driven primarily by improvements in our organic performance of $12,274 and, to a lesser extent, the impact from acquisitions of $6,789, partially offset by negative foreign currency effects due to a stronger U.S. Dollar relative to our other functional currencies of $665. On a constant currency basis, our revenues from the Americas increased by 11.4% for the six months ended June 30, 2020 as compared to the prior period.</w:t>
      </w:r>
    </w:p>
    <w:p>
      <w:pPr>
        <w:spacing w:after="0" w:line="324"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w:t>
      </w:r>
    </w:p>
    <w:p>
      <w:pPr>
        <w:spacing w:after="0" w:line="79" w:lineRule="exact"/>
        <w:rPr>
          <w:rFonts w:ascii="Times New Roman" w:cs="Times New Roman" w:eastAsia="Times New Roman" w:hAnsi="Times New Roman"/>
          <w:sz w:val="18"/>
          <w:szCs w:val="18"/>
          <w:color w:val="auto"/>
        </w:rPr>
      </w:pPr>
    </w:p>
    <w:p>
      <w:pPr>
        <w:ind w:left="1800" w:right="779" w:hanging="178"/>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Revenues from EMEA increased by $5,767, or 5.0%,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$4,350 and, to a lesser extent, the impact from acquisitions of $4,113, partly offset by negative foreign currency effects due to a stronger U.S. Dollar relative to our other functional currencies of $2,696. On a constant currency basis, our revenues from EMEA increased by 7.3% for the six months ended June 30, 2020 as compared to the prior period.</w:t>
      </w:r>
    </w:p>
    <w:p>
      <w:pPr>
        <w:spacing w:after="0" w:line="324" w:lineRule="exact"/>
        <w:rPr>
          <w:rFonts w:ascii="Times New Roman" w:cs="Times New Roman" w:eastAsia="Times New Roman" w:hAnsi="Times New Roman"/>
          <w:sz w:val="18"/>
          <w:szCs w:val="18"/>
          <w:color w:val="auto"/>
        </w:rPr>
      </w:pPr>
    </w:p>
    <w:p>
      <w:pPr>
        <w:ind w:left="1800" w:right="10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throughout the region. Approximately 60% of our organic performance expansion was driven by ProjectWise.</w:t>
      </w:r>
    </w:p>
    <w:p>
      <w:pPr>
        <w:spacing w:after="0" w:line="79" w:lineRule="exact"/>
        <w:rPr>
          <w:rFonts w:ascii="Times New Roman" w:cs="Times New Roman" w:eastAsia="Times New Roman" w:hAnsi="Times New Roman"/>
          <w:sz w:val="18"/>
          <w:szCs w:val="18"/>
          <w:color w:val="auto"/>
        </w:rPr>
      </w:pPr>
    </w:p>
    <w:p>
      <w:pPr>
        <w:ind w:left="1800" w:right="719" w:hanging="178"/>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Revenues from APAC increased by $7,671, or 12.0%,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$8,558 and, to a lesser extent, the impact from acquisitions of $482, partially offset by negative foreign currency effects due to a stronger U.S. Dollar relative to our other functional currencies of $1,369. On a constant currency basis, our revenues from APAC increased by 14.1% for the six months ended June 30, 2020 as compared to the prior period.</w:t>
      </w:r>
    </w:p>
    <w:p>
      <w:pPr>
        <w:spacing w:after="0" w:line="337"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Offshore Structural Analysis products.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900" w:type="dxa"/>
            <w:vAlign w:val="bottom"/>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9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$43,128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12,297</w:t>
            </w:r>
          </w:p>
        </w:tc>
        <w:tc>
          <w:tcPr>
            <w:tcW w:w="2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(7,531)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$73,964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48260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78"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Cost of revenues increased by $4,766, or 6.9%, to $73,964 for the six months ended June 30, 2020. This increase was driven primarily by an increase in cost of subscriptions and licenses, partially offset by lower cost of services relative to the prior period. On a constant currency basis, total cost of revenues increased by 8.7% for the six months ended June 30, 2020 as compared to the prior period.</w:t>
      </w:r>
    </w:p>
    <w:p>
      <w:pPr>
        <w:spacing w:after="0" w:line="113"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Cost of subscriptions and licenses increased 39.9%, or 41.9% in constant currency, as compared to the six months ended June 30, 2019. On a constant currency basis, this increase was primarily due to an increase in hosting costs of approximately $5,600, an increase in salaries, incentive compensation, and other headcount-related costs of approximately $5,000, and an increase in amortization expense of approximately $1,100 for software and technology.</w:t>
      </w:r>
    </w:p>
    <w:p>
      <w:pPr>
        <w:spacing w:after="0" w:line="117"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Cost of services decreased by 19.6%, or 17.9% in constant currency, as compared to the six months ended June 30, 2019. On a constant currency basis, the decrease was primarily due to a decrease in salaries, incentive compensation, and other headcount-related costs of approximately $2,600 as well as a decrease in the recognition of previously capitalized costs related to certain professional services projects of approximately $3,700.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$(2,508)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22"/>
                <w:szCs w:val="2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220,188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214,464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$(5,724)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52120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6"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2.7%, or 1.3%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six months ended June 30, 2019. On a constant currency basis, the decrease was primarily due to COVID -19 related modification to employee travel and variable compensation plans resulting in a net decrease in salaries, incentive compensation, and other headcount-related costs of approximately $700, as well as a decrease in facility-related costs of approximately $600.</w:t>
      </w:r>
    </w:p>
    <w:p>
      <w:pPr>
        <w:spacing w:after="0" w:line="113"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12.6%, or 10.6%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six months ended June 30, 2019. The decrease is primarily caused by COVID-19 related modification to employee travel and variable compensation plans resulting in a net decrease in salaries, incentive compensation, and other headcount- related costs of approximately $6,000, as well as a reduction in promotional costs of $1,100, substantially from rationalizing our marketing spend and shifting to virtual events given the evolving business environment as a result of COVID-19.</w:t>
      </w:r>
    </w:p>
    <w:p>
      <w:pPr>
        <w:spacing w:after="0" w:line="116"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12.9%, or 13.7%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six months ended June 30, 2019. On a constant currency basis, the increase was primarily caused by an increase in salaries, incentive compensation, and other headcount-related costs of approximately $4,300, as well as approximately $1,600 related to acquisition and integration costs and other corporate initiatives.</w:t>
      </w:r>
    </w:p>
    <w:p>
      <w:pPr>
        <w:sectPr>
          <w:pgSz w:w="11900" w:h="16838" w:orient="portrait"/>
          <w:cols w:equalWidth="0" w:num="1">
            <w:col w:w="10139"/>
          </w:cols>
          <w:pgMar w:left="320" w:top="114"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260" w:right="7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3.8%,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in constant currency, as compared to the six months ended June 30, 2019. The increase was primarily attributable to acquisitions that closed in the last six months of 2019 and the first six months of 2020.</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6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$(5,021)</w:t>
            </w:r>
          </w:p>
        </w:tc>
        <w:tc>
          <w:tcPr>
            <w:tcW w:w="2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r>
      <w:tr>
        <w:trPr>
          <w:trHeight w:val="26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tcPr>
          <w:p>
            <w:pPr>
              <w:spacing w:after="0"/>
              <w:rPr>
                <w:sz w:val="22"/>
                <w:szCs w:val="22"/>
                <w:color w:val="auto"/>
              </w:rPr>
            </w:pPr>
          </w:p>
        </w:tc>
      </w:tr>
      <w:tr>
        <w:trPr>
          <w:trHeight w:val="25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(4,474)</w:t>
            </w:r>
          </w:p>
        </w:tc>
        <w:tc>
          <w:tcPr>
            <w:tcW w:w="22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(2,516)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43"/>
        </w:trPr>
        <w:tc>
          <w:tcPr>
            <w:tcW w:w="5820" w:type="dxa"/>
            <w:vAlign w:val="bottom"/>
          </w:tcPr>
          <w:p>
            <w:pPr>
              <w:spacing w:after="0"/>
              <w:rPr>
                <w:sz w:val="24"/>
                <w:szCs w:val="24"/>
                <w:color w:val="auto"/>
              </w:rPr>
            </w:pPr>
          </w:p>
        </w:tc>
        <w:tc>
          <w:tcPr>
            <w:tcW w:w="166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$(2,544)</w:t>
            </w: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-1370965</wp:posOffset>
            </wp:positionV>
            <wp:extent cx="47491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-1713865</wp:posOffset>
            </wp:positionV>
            <wp:extent cx="42862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-710565</wp:posOffset>
            </wp:positionV>
            <wp:extent cx="42862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91" w:lineRule="exact"/>
        <w:rPr>
          <w:sz w:val="20"/>
          <w:szCs w:val="20"/>
          <w:color w:val="auto"/>
        </w:rPr>
      </w:pPr>
    </w:p>
    <w:p>
      <w:pPr>
        <w:jc w:val="both"/>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Our net interest expense for the six months ended June 30, 2020 decreased from the prior year period primarily due to a lower outstanding balance on the Credit Facility combined with a lower average interest rate.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5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2862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 xml:space="preserve">Other income (expense), net for the six months ended June 30, 2019 and 2020 primarily consists of foreign currency translation losses of $1,588 and $4,263, respectively. The foreign currency translation losses derive primarily from U.S. Dollar denominated intercompany balances, cash and cash equivalents, and accounts receivable held by foreign subsidiaries with non-U.S. Dollar functional currencies.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For the six months ended June 30, 2019 and 2020, intercompany loan balances resulted in unrealized foreign currency translation losses of $1,680 and $1,765, respectively.</w:t>
      </w:r>
    </w:p>
    <w:p>
      <w:pPr>
        <w:spacing w:after="0" w:line="106"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Other income (expense), net also includes a loss from the change in fair value of the Company’s interest rate swap of $4,174, partly offset by a gain from the change in fair value of an acquisition contingent consideration of $1,390 for the six months ended June 30, 2020.</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0"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we recognized an aggregate consolidated income tax expense of $5,119 and $11,440, respectively, for U.S. domestic and foreign income taxes. During the six months ended June 30, 2019 and 2020, we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46"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DCW. DCW’s focus is to transform the construction industry from its legacy document-centric paradigm by simplifying and enabling digital automated workflows and processes, technology integration, and digital twinning services for infrastructure.</w:t>
      </w:r>
    </w:p>
    <w:p>
      <w:pPr>
        <w:spacing w:after="0" w:line="332" w:lineRule="exact"/>
        <w:rPr>
          <w:sz w:val="20"/>
          <w:szCs w:val="20"/>
          <w:color w:val="auto"/>
        </w:rPr>
      </w:pPr>
    </w:p>
    <w:p>
      <w:pPr>
        <w:ind w:left="1260" w:right="939" w:firstLine="360"/>
        <w:spacing w:after="0" w:line="257"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six months ended June 30, 2020, the equity in loss, net of tax, related to the investment was $866.</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33655</wp:posOffset>
            </wp:positionV>
            <wp:extent cx="10629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-179705</wp:posOffset>
            </wp:positionV>
            <wp:extent cx="42862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3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2020, net income increased by $22,327, or 48%, compared to the six months ended June 30, 2019. The change is due to the factors stated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-333375</wp:posOffset>
            </wp:positionV>
            <wp:extent cx="42519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24"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EBITDA increased by $36,122 compared to the six months ended June 30, 2019. These increases were primarily due to an increase in income from operations, net of adjustments discussed in the section titled “Selected Consolidated Financial Data.”</w:t>
      </w:r>
    </w:p>
    <w:p>
      <w:pPr>
        <w:spacing w:after="0" w:line="10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Adjusted EBITDA as a percentage of revenue was 23% and 30% for the six months ended June 30, 2019 and 2020, respectively.</w:t>
      </w:r>
    </w:p>
    <w:p>
      <w:pPr>
        <w:spacing w:after="0" w:line="8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Net Income increased by $29,225 compared to the six months ended June 30, 2019. These increases were primarily due to an increase in income from operations net of adjustments discussed in the section titled “Selected Consolidated Financial Data.”</w:t>
      </w:r>
    </w:p>
    <w:p>
      <w:pPr>
        <w:spacing w:after="0" w:line="10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Adjusted Net Income as a percentage of revenue was 17% and 24% for the six months ended June 30, 2019 and 2020, respectively.</w:t>
      </w:r>
    </w:p>
    <w:p>
      <w:pPr>
        <w:spacing w:after="0" w:line="94"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94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18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4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18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$50,879</w:t>
            </w:r>
          </w:p>
        </w:tc>
        <w:tc>
          <w:tcPr>
            <w:tcW w:w="160" w:type="dxa"/>
            <w:vAlign w:val="bottom"/>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$(5,625)</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$ 56,504</w:t>
            </w:r>
          </w:p>
        </w:tc>
        <w:tc>
          <w:tcPr>
            <w:tcW w:w="1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6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(14.0)% (11.1)%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Subscriptions and</w:t>
            </w:r>
          </w:p>
        </w:tc>
        <w:tc>
          <w:tcPr>
            <w:tcW w:w="22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licenses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1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6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$44,944</w:t>
            </w:r>
          </w:p>
        </w:tc>
        <w:tc>
          <w:tcPr>
            <w:tcW w:w="16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$ 1,805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$ 43,139</w:t>
            </w:r>
          </w:p>
        </w:tc>
        <w:tc>
          <w:tcPr>
            <w:tcW w:w="1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52120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-1191260</wp:posOffset>
            </wp:positionV>
            <wp:extent cx="48260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revenues as reported under Topic 606 increased by $44,944, or 6.5%, to $736,654 as compared to $691,710 under Topic 605 for the year ended December 31, 2018, with subscriptions revenues increasing by 9.1%, perpetual licenses revenues decreasing by 2.2%, and services revenues decreasing by 6.2%.</w:t>
      </w:r>
    </w:p>
    <w:p>
      <w:pPr>
        <w:spacing w:after="0" w:line="112"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The change in revenues was significantly impacted by the adoption of Topic 606, which impacted the timing, allocation, and presentation of subscriptions, perpetual licenses, and services revenues. The most significant impact from the adoption of Topic 606 relates to timing of revenue recognition for perpetual licenses and the accounting for certain of our subscription arrangements that include term-based software licenses bundled with support. Under Topic 606, both perpetual license and prepaid term-based software license revenues are recognized upfront upon delivery of the software license. Under Topic 605, revenue for perpetual licenses was recognized over a three-year period, while revenue attributable to the term-based software licenses was recognized ratably over the term. Revenue recognition related to support, hosting, usage-based offerings, and services is substantially unchanged, with support and hosting revenue recorded ratably over the contract term, usage-based revenue recognized upon usage or delivery, and services revenue recognized as delivered. The adoption of Topic 606 resulted in a net reduction in subscriptions revenues of $5,625, and a net increase in perpetual licenses revenues of $7,174 for the year ended December 31, 2019. The Company’s services revenues have not been significantly impacted by the adoption of Topic 606. On an annual basis, we expect our subscriptions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consumption-based offerings with consumption measurement durations of less than one year, such as our E365 program, as well as the term start date of new annual term license subscriptions, introduces some volatility between periods and impacts period-over-period comparability. For additional information, see the section titled “Key Factors Impacting Comparability and Performance.” For additional information on the impact of adoption of Topic 606 on our results, see Note 2 to the audited consolidated financial statements included elsewhere in the prospectus.</w:t>
      </w:r>
    </w:p>
    <w:p>
      <w:pPr>
        <w:spacing w:after="0" w:line="355"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Net of the impact from adopting Topic 606 of $1,805, total revenues increased by $43,139, or 6.2%, for the year ended December 31, 2019. This increase was driven primarily by improvements in our organic performance of $53,827, and to a lesser extent, the impact from acquisitions of $7,597, partially offset by negative foreign currency effects due to a stronger U.S. Dollar relative to our other functional currencies of $18,285. On a constant currency basis and net of the impact from adopting Topic 606, our revenues increased by 8.9% for the year ended December 31, 2019 as compared to the prior period.</w:t>
      </w:r>
    </w:p>
    <w:p>
      <w:pPr>
        <w:spacing w:after="0" w:line="77" w:lineRule="exact"/>
        <w:rPr>
          <w:sz w:val="20"/>
          <w:szCs w:val="20"/>
          <w:color w:val="auto"/>
        </w:rPr>
      </w:pPr>
    </w:p>
    <w:p>
      <w:pPr>
        <w:ind w:left="1800" w:right="999" w:hanging="178"/>
        <w:spacing w:after="0" w:line="257"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Net of the decrease from adopting Topic 606 of $5,625, subscriptions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$56,504, or 10.1%, for the year ended December 31, 2019 as compared to the year ended December 31, 2018. This increase was driven primarily by improvements in our organic performance of $61,325, and to a lesser extent, the impact from acquisitions of $10,448, partially offset by negative foreign currency effects due to a stronger U.S. Dollar relative to our other functional</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1400"/>
        <w:spacing w:after="0" w:line="250" w:lineRule="auto"/>
        <w:rPr>
          <w:sz w:val="20"/>
          <w:szCs w:val="20"/>
          <w:color w:val="auto"/>
        </w:rPr>
      </w:pPr>
      <w:r>
        <w:rPr>
          <w:rFonts w:ascii="Times New Roman" w:cs="Times New Roman" w:eastAsia="Times New Roman" w:hAnsi="Times New Roman"/>
          <w:sz w:val="18"/>
          <w:szCs w:val="18"/>
          <w:color w:val="auto"/>
        </w:rPr>
        <w:t>currencies of $15,269. On a constant currency basis and net of the impact from adopting Topic 606, our subscriptions revenues increased by 12.9% for the year ended December 31, 2019 as compared to the prior period.</w:t>
      </w:r>
    </w:p>
    <w:p>
      <w:pPr>
        <w:spacing w:after="0" w:line="96" w:lineRule="exact"/>
        <w:rPr>
          <w:sz w:val="20"/>
          <w:szCs w:val="20"/>
          <w:color w:val="auto"/>
        </w:rPr>
      </w:pPr>
    </w:p>
    <w:p>
      <w:pPr>
        <w:ind w:left="1800" w:right="1260"/>
        <w:spacing w:after="0" w:line="245" w:lineRule="auto"/>
        <w:rPr>
          <w:sz w:val="20"/>
          <w:szCs w:val="20"/>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108%. Approximately 2% of the increase was attributed to new accounts. Approximately 50% of our organic performance expansion was driven by ProjectWise and civil design products.</w:t>
      </w:r>
    </w:p>
    <w:p>
      <w:pPr>
        <w:spacing w:after="0" w:line="71" w:lineRule="exact"/>
        <w:rPr>
          <w:sz w:val="20"/>
          <w:szCs w:val="20"/>
          <w:color w:val="auto"/>
        </w:rPr>
      </w:pPr>
    </w:p>
    <w:p>
      <w:pPr>
        <w:ind w:left="1800" w:right="1320" w:hanging="178"/>
        <w:spacing w:after="0" w:line="25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Net of the increase from adopting Topic 606 of $7,174, perpetual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decreased by $8,546, or 14.0%, for the year ended December 31, 2019 as compared to the year ended December 31, 2018. This decrease was driven by a reduction in our organic performance of $2,735, the net negative impact from acquisitions and acquisition integration of $4,069, as well as by negative foreign currency effects due to a stronger U.S. Dollar relative to our other functional currencies of $1,742. On a constant currency basis and net of the impact from adopting Topic 606, our perpetual licenses revenues decreased by 11.1% for the year ended December 31, 2019 as compared to the prior period.</w:t>
      </w:r>
    </w:p>
    <w:p>
      <w:pPr>
        <w:spacing w:after="0" w:line="119" w:lineRule="exact"/>
        <w:rPr>
          <w:rFonts w:ascii="Times New Roman" w:cs="Times New Roman" w:eastAsia="Times New Roman" w:hAnsi="Times New Roman"/>
          <w:sz w:val="18"/>
          <w:szCs w:val="18"/>
          <w:color w:val="auto"/>
        </w:rPr>
      </w:pPr>
    </w:p>
    <w:p>
      <w:pPr>
        <w:ind w:left="1800" w:right="13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of $4,498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97" w:lineRule="exact"/>
        <w:rPr>
          <w:rFonts w:ascii="Times New Roman" w:cs="Times New Roman" w:eastAsia="Times New Roman" w:hAnsi="Times New Roman"/>
          <w:sz w:val="18"/>
          <w:szCs w:val="18"/>
          <w:color w:val="auto"/>
        </w:rPr>
      </w:pPr>
    </w:p>
    <w:p>
      <w:pPr>
        <w:ind w:left="1800" w:right="1280" w:hanging="178"/>
        <w:spacing w:after="0" w:line="25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Net of the increase from adopting Topic 606 of $256, services revenues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$4,819, or 6.6%, for the year ended December 31, 2019 as compared to the year ended December 31, 2018. This decrease was driven primarily by a reduction in our organic performance of $4,763, as well as by negative foreign currency effects due to a stronger U.S. Dollar relative to our other functional currencies of $1,274, partially offset by the impact from acquisitions of $1,218. On a constant currency basis and net of the impact from adopting Topic 606, our services revenues decreased by 4.8% for the year ended December 31, 2019 as compared to the prior period.</w:t>
      </w:r>
    </w:p>
    <w:p>
      <w:pPr>
        <w:spacing w:after="0" w:line="117" w:lineRule="exact"/>
        <w:rPr>
          <w:rFonts w:ascii="Times New Roman" w:cs="Times New Roman" w:eastAsia="Times New Roman" w:hAnsi="Times New Roman"/>
          <w:sz w:val="18"/>
          <w:szCs w:val="18"/>
          <w:color w:val="auto"/>
        </w:rPr>
      </w:pPr>
    </w:p>
    <w:p>
      <w:pPr>
        <w:ind w:left="1800" w:righ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organic performance was primarily due to the completion of several larger services projects during 2018 and the partial redeployment of our services colleagues to support Success Plan services of our E365 subscription offering.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46" w:lineRule="exact"/>
        <w:rPr>
          <w:sz w:val="20"/>
          <w:szCs w:val="20"/>
          <w:color w:val="auto"/>
        </w:rPr>
      </w:pPr>
    </w:p>
    <w:p>
      <w:pPr>
        <w:ind w:left="1260" w:right="1800" w:firstLine="360"/>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8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2"/>
            <w:vMerge w:val="restart"/>
          </w:tcPr>
          <w:p>
            <w:pPr>
              <w:jc w:val="center"/>
              <w:ind w:right="1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60" w:type="dxa"/>
            <w:vAlign w:val="bottom"/>
            <w:gridSpan w:val="4"/>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128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4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8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560" w:type="dxa"/>
            <w:vAlign w:val="bottom"/>
            <w:tcBorders>
              <w:top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5"/>
              </w:rPr>
              <w:t>Revenues by Geographic Area</w:t>
            </w: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$328,749</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$356,331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$27,582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$(4,603)</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$ 32,185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143,721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by</w:t>
            </w: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25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geographic area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$44,944</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$ 43,139</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-1019175</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-1019175</wp:posOffset>
            </wp:positionV>
            <wp:extent cx="1714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-1019175</wp:posOffset>
            </wp:positionV>
            <wp:extent cx="3771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-1019175</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-1019175</wp:posOffset>
            </wp:positionV>
            <wp:extent cx="22028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-1636395</wp:posOffset>
            </wp:positionV>
            <wp:extent cx="48260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revenues reported under Topic 606 for our Americas, EMEA and APAC geographic areas, as compared to the revenues reported under Topic 605 for the year ended December 31, 2018, increased by $27,582, or 8.4%, $5,116, or 2.2%, and $12,246, or 9.3%, respectively.</w:t>
      </w:r>
    </w:p>
    <w:p>
      <w:pPr>
        <w:spacing w:after="0" w:line="66" w:lineRule="exact"/>
        <w:rPr>
          <w:sz w:val="20"/>
          <w:szCs w:val="20"/>
          <w:color w:val="auto"/>
        </w:rPr>
      </w:pPr>
    </w:p>
    <w:p>
      <w:pPr>
        <w:ind w:left="1800" w:right="679" w:hanging="178"/>
        <w:spacing w:after="0" w:line="25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Net of the decrease from adopting Topic 606 of $4,603, revenues from the Americas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$32,185, or 9.8%, for the year ended December 31, 2019 as compared to the year ended December 31, 2018. This increase was driven primarily by improvements in our organic performance of $30,993 and, to a lesser extent, the impact from acquisitions of $4,527, partially offset by negative foreign currency effects due to a stronger U.S. Dollar relative to our other functional currencies of $3,335. On a constant currency basis and net of the impact from adopting Topic 606, our revenues from the Americas increased by 10.8% for the year ended December 31, 2019 as compared to the prior period.</w:t>
      </w:r>
    </w:p>
    <w:p>
      <w:pPr>
        <w:spacing w:after="0" w:line="325"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 and civil design products.</w:t>
      </w:r>
    </w:p>
    <w:p>
      <w:pPr>
        <w:spacing w:after="0" w:line="65" w:lineRule="exact"/>
        <w:rPr>
          <w:rFonts w:ascii="Times New Roman" w:cs="Times New Roman" w:eastAsia="Times New Roman" w:hAnsi="Times New Roman"/>
          <w:sz w:val="18"/>
          <w:szCs w:val="18"/>
          <w:color w:val="auto"/>
        </w:rPr>
      </w:pPr>
    </w:p>
    <w:p>
      <w:pPr>
        <w:ind w:left="1800" w:right="699" w:hanging="178"/>
        <w:spacing w:after="0" w:line="25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Net of the increase from adopting Topic 606 of $1,348, revenues from EMEA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$3,768, or 1.6%, for the year ended December 31, 2019 as compared to the year ended December 31, 2018. This increase was driven primarily by improvements in our organic performance of $11,665 and, to a lesser extent, the impact from acquisitions of $6,818, partly offset by the negative impact from acquisition integration of $4,498 and by negative foreign currency effects due to a stronger U.S. Dollar relative to our other functional currencies of $10,217. On a constant currency basis and net of the impact from adopting Topic 606, our revenues from EMEA increased by 6.0% for the year ended December 31, 2019 as compared to the prior period.</w:t>
      </w:r>
    </w:p>
    <w:p>
      <w:pPr>
        <w:spacing w:after="0" w:line="119" w:lineRule="exact"/>
        <w:rPr>
          <w:rFonts w:ascii="Times New Roman" w:cs="Times New Roman" w:eastAsia="Times New Roman" w:hAnsi="Times New Roman"/>
          <w:sz w:val="18"/>
          <w:szCs w:val="18"/>
          <w:color w:val="auto"/>
        </w:rPr>
      </w:pPr>
    </w:p>
    <w:p>
      <w:pPr>
        <w:ind w:left="1800" w:right="10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throughout the region. Approximately 50% of our organic performance expansion was driven by ProjectWise and Offshore Structural Analysis products.</w:t>
      </w:r>
    </w:p>
    <w:p>
      <w:pPr>
        <w:spacing w:after="0" w:line="108" w:lineRule="exact"/>
        <w:rPr>
          <w:rFonts w:ascii="Times New Roman" w:cs="Times New Roman" w:eastAsia="Times New Roman" w:hAnsi="Times New Roman"/>
          <w:sz w:val="18"/>
          <w:szCs w:val="18"/>
          <w:color w:val="auto"/>
        </w:rPr>
      </w:pPr>
    </w:p>
    <w:p>
      <w:pPr>
        <w:ind w:left="1800" w:right="7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97"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Net of the increase from adopting Topic 606 of $5,060, revenues from APAC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$7,186, or 5.5%, for the year ended December 31, 2019 as compared to the year ended December 31, 2018. This increase was driven primarily by improvements in our organic performance of $11,169 and, to a lesser extent, the impact from acquisitions of $750, partially offset by negative foreign currency effects due to a stronger U.S. Dollar relative to our other functional currencies of $4,733. On a constant currency basis and net of the impact from adopting Topic 606, our revenues from APAC increased by 9.1% for the year ended December 31, 2019 as compared to the prior period.</w:t>
      </w:r>
    </w:p>
    <w:p>
      <w:pPr>
        <w:spacing w:after="0" w:line="103"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civil design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7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6"/>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5"/>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40" w:type="dxa"/>
            <w:vAlign w:val="bottom"/>
            <w:gridSpan w:val="4"/>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3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3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  29.9%  $139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$ 16,326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(3,639)</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131,324</w:t>
            </w:r>
          </w:p>
        </w:tc>
        <w:tc>
          <w:tcPr>
            <w:tcW w:w="200" w:type="dxa"/>
            <w:vAlign w:val="bottom"/>
            <w:tcBorders>
              <w:top w:val="single" w:sz="8" w:color="CCEEFF"/>
              <w:bottom w:val="single" w:sz="8" w:color="CCEEFF"/>
            </w:tcBorders>
            <w:gridSpan w:val="3"/>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144,150</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$ 12,687</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-205105</wp:posOffset>
            </wp:positionV>
            <wp:extent cx="8318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985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-685165</wp:posOffset>
            </wp:positionV>
            <wp:extent cx="4826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1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cost of revenues reported under Topic 606 increased by $12,826, or 9.8%, to $144,150 as compared to cost of revenues reported under Topic 605 for the year ended December 31, 2018. This increase was driven primarily by an increase in cost of subscriptions and licenses, partially offset by lower cost of services relative to the prior period. Cost of revenues has not been significantly impacted by the adoption of Topic 606.</w:t>
      </w:r>
    </w:p>
    <w:p>
      <w:pPr>
        <w:spacing w:after="0" w:line="10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Net of the increase from adopting Topic 606 of $139, cost of subscriptions and licenses increased 29.6%, or 32.8% in constant currency, as compared to the year ended December 31, 2018. On a constant currency basis, this increase was primarily due to an increase in hosting costs of approximately $6,600, an increase in salaries, incentive compensation, and other headcount-related costs of approximately $6,000, an increase in amortization expense of approximately $1,500 related to certain projects under our Accelerated Commercial Development Program, an increase in reseller costs of approximately $1,900 and an increase in amortization expense of approximately $1,000 for software and technology.</w:t>
      </w:r>
    </w:p>
    <w:p>
      <w:pPr>
        <w:spacing w:after="0" w:line="121"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Cost of services decreased by 4.8%, or 2.2% in constant currency, as compared to the year ended December 31, 2018. On a constant currency basis, the decrease was primarily due to a decrease in salaries, incentive compensation, and other headcount-related costs of approximately $1,100 as well as a decrease in the recognition of previously capitalized costs related to certain professional services projects of approximately $500.</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6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4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(5,341)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(5,361)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20"/>
                <w:szCs w:val="20"/>
                <w:color w:val="auto"/>
              </w:rPr>
            </w:pPr>
          </w:p>
        </w:tc>
        <w:tc>
          <w:tcPr>
            <w:tcW w:w="5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11,644</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11,624</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-205105</wp:posOffset>
            </wp:positionV>
            <wp:extent cx="8147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-205105</wp:posOffset>
            </wp:positionV>
            <wp:extent cx="9512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-205105</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21170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48260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4.9%, or 7.2%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year ended December 31, 2018. On a constant currency basis, the increase was primarily due to an increase in salaries, incentive compensation, and other headcount-related costs of approximately $8,800, as well as an increase in facility-related costs of approximately $3,300.</w:t>
      </w:r>
    </w:p>
    <w:p>
      <w:pPr>
        <w:spacing w:after="0" w:line="112" w:lineRule="exact"/>
        <w:rPr>
          <w:sz w:val="20"/>
          <w:szCs w:val="20"/>
          <w:color w:val="auto"/>
        </w:rPr>
      </w:pPr>
    </w:p>
    <w:p>
      <w:pPr>
        <w:jc w:val="both"/>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3.3%, or 1.0% in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year ended December 31, 2018. The decrease is primarily caused by a reduction in sales incentives, which were at an elevated level for the year ended December 31, 2018.</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9.2%, or 10.6%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year ended December 31, 2018. On a constant currency basis, the increase was primarily caused by an increase in salaries, incentive compensation, and other headcount-related costs of approximately $8,600, as well as approximately $900 related to incremental accounting costs associated with this offering.</w:t>
      </w:r>
    </w:p>
    <w:p>
      <w:pPr>
        <w:spacing w:after="0" w:line="100" w:lineRule="exact"/>
        <w:rPr>
          <w:sz w:val="20"/>
          <w:szCs w:val="20"/>
          <w:color w:val="auto"/>
        </w:rPr>
      </w:pPr>
    </w:p>
    <w:p>
      <w:pPr>
        <w:jc w:val="both"/>
        <w:ind w:left="1260" w:right="8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1.5%,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 in constant currency, as compared to the year ended December 31, 2018. The increase was primarily attributable to acquisitions that closed in 2018.</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9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$(9,731)</w:t>
            </w:r>
          </w:p>
        </w:tc>
        <w:tc>
          <w:tcPr>
            <w:tcW w:w="60" w:type="dxa"/>
            <w:vAlign w:val="bottom"/>
          </w:tcPr>
          <w:p>
            <w:pPr>
              <w:spacing w:after="0"/>
              <w:rPr>
                <w:sz w:val="21"/>
                <w:szCs w:val="21"/>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22"/>
                <w:szCs w:val="22"/>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(8,765)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8"/>
        </w:trPr>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6100" w:type="dxa"/>
            <w:vAlign w:val="bottom"/>
          </w:tcPr>
          <w:p>
            <w:pPr>
              <w:spacing w:after="0"/>
              <w:rPr>
                <w:sz w:val="17"/>
                <w:szCs w:val="17"/>
                <w:color w:val="auto"/>
              </w:rPr>
            </w:pPr>
          </w:p>
        </w:tc>
        <w:tc>
          <w:tcPr>
            <w:tcW w:w="60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$(8,971)</w:t>
            </w:r>
          </w:p>
        </w:tc>
        <w:tc>
          <w:tcPr>
            <w:tcW w:w="60" w:type="dxa"/>
            <w:vAlign w:val="bottom"/>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6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tcPr>
          <w:p>
            <w:pPr>
              <w:spacing w:after="0"/>
              <w:rPr>
                <w:sz w:val="22"/>
                <w:szCs w:val="22"/>
                <w:color w:val="auto"/>
              </w:rPr>
            </w:pPr>
          </w:p>
        </w:tc>
      </w:tr>
      <w:tr>
        <w:trPr>
          <w:trHeight w:val="26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-1482725</wp:posOffset>
            </wp:positionV>
            <wp:extent cx="43891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-1825625</wp:posOffset>
            </wp:positionV>
            <wp:extent cx="43802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8023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802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91"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net interest expense for the year ended December 31, 2019 decreased from the prior year period primarily due to an offsetting increase in interest income from our investments in money market funds.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$(5,591)</w:t>
            </w:r>
          </w:p>
        </w:tc>
        <w:tc>
          <w:tcPr>
            <w:tcW w:w="60" w:type="dxa"/>
            <w:vAlign w:val="bottom"/>
          </w:tcPr>
          <w:p>
            <w:pPr>
              <w:spacing w:after="0"/>
              <w:rPr>
                <w:sz w:val="21"/>
                <w:szCs w:val="21"/>
                <w:color w:val="auto"/>
              </w:rPr>
            </w:pPr>
          </w:p>
        </w:tc>
      </w:tr>
      <w:tr>
        <w:trPr>
          <w:trHeight w:val="26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2"/>
                <w:szCs w:val="22"/>
                <w:color w:val="auto"/>
              </w:rPr>
            </w:pPr>
          </w:p>
        </w:tc>
      </w:tr>
      <w:tr>
        <w:trPr>
          <w:trHeight w:val="263"/>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$ 236</w:t>
            </w: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$(5,557)</w:t>
            </w:r>
          </w:p>
        </w:tc>
        <w:tc>
          <w:tcPr>
            <w:tcW w:w="60" w:type="dxa"/>
            <w:vAlign w:val="bottom"/>
          </w:tcPr>
          <w:p>
            <w:pPr>
              <w:spacing w:after="0"/>
              <w:rPr>
                <w:sz w:val="22"/>
                <w:szCs w:val="22"/>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Other income (expense), net for the years ended December 31, 2018 and 2019 primarily consists of foreign currency translation losses of $418 and $5,591, respectively. The foreign currency translation losses derive primarily from U.S. Dollar denominated intercompany balances, cash and cash equivalents, and accounts receivable held by foreign subsidiaries with non-U.S. Dollar functional currencies. In</w:t>
      </w:r>
    </w:p>
    <w:p>
      <w:pPr>
        <w:spacing w:after="0" w:line="2" w:lineRule="exact"/>
        <w:rPr>
          <w:sz w:val="20"/>
          <w:szCs w:val="20"/>
          <w:color w:val="auto"/>
        </w:rPr>
      </w:pPr>
    </w:p>
    <w:p>
      <w:pPr>
        <w:ind w:left="1260" w:right="899"/>
        <w:spacing w:after="0" w:line="236" w:lineRule="auto"/>
        <w:rPr>
          <w:sz w:val="20"/>
          <w:szCs w:val="20"/>
          <w:color w:val="auto"/>
        </w:rPr>
      </w:pPr>
      <w:r>
        <w:rPr>
          <w:rFonts w:ascii="Times New Roman" w:cs="Times New Roman" w:eastAsia="Times New Roman" w:hAnsi="Times New Roman"/>
          <w:sz w:val="18"/>
          <w:szCs w:val="18"/>
          <w:color w:val="auto"/>
        </w:rPr>
        <w:t xml:space="preserve">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(expense), net</w:t>
      </w:r>
      <w:r>
        <w:rPr>
          <w:rFonts w:ascii="Times New Roman" w:cs="Times New Roman" w:eastAsia="Times New Roman" w:hAnsi="Times New Roman"/>
          <w:sz w:val="18"/>
          <w:szCs w:val="18"/>
          <w:color w:val="auto"/>
        </w:rPr>
        <w:t>. For the year ended December 31, 2019, such intercompany balances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foreign currency translation losses of $5,270.</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0"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The income tax provisions for the years ended December 31, 2018 and 2019 were based on the effective income tax rates applicable for those periods. During the years ended December 31, 2018 and 2019, we</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1" w:lineRule="auto"/>
        <w:rPr>
          <w:sz w:val="20"/>
          <w:szCs w:val="20"/>
          <w:color w:val="auto"/>
        </w:rPr>
      </w:pPr>
      <w:r>
        <w:rPr>
          <w:rFonts w:ascii="Times New Roman" w:cs="Times New Roman" w:eastAsia="Times New Roman" w:hAnsi="Times New Roman"/>
          <w:sz w:val="18"/>
          <w:szCs w:val="18"/>
          <w:color w:val="auto"/>
        </w:rPr>
        <w:t>recognized an aggregate consolidated income tax (benefit) expense of $(29,250) and $23,738, respectively, for U.S. domestic and foreign income taxes. The effective income tax rate of (25.9)% for the year ended December 31, 2018 was primarily impacted by a non-recurring tax benefit of $46,369 resulting from an intercompany sale of certain intangible operating assets. The effective income tax rate of 18.5% for the year ended December 31, 2019 was primarily a result of the timing and mix of U.S. and foreign income. The provision for income tax under Topic 605 would have been $21,762 for the year ended December 31, 2019.</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46"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Digital Construction Works, Inc. (“DCW”), a joint venture that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117" w:lineRule="exact"/>
        <w:rPr>
          <w:sz w:val="20"/>
          <w:szCs w:val="20"/>
          <w:color w:val="auto"/>
        </w:rPr>
      </w:pPr>
    </w:p>
    <w:p>
      <w:pPr>
        <w:ind w:left="1260" w:right="939" w:firstLine="360"/>
        <w:spacing w:after="0" w:line="245"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 year ended December 31, 2019, the equity in loss, net of tax, related to the investment was $1,275.</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3"/>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199"/>
        </w:trPr>
        <w:tc>
          <w:tcPr>
            <w:tcW w:w="49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16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3"/>
        </w:trPr>
        <w:tc>
          <w:tcPr>
            <w:tcW w:w="4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$142,112</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$103,426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3033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0"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net income under Topic 606 decreased by $39,016, or 27.5% ($38,686, or 27.2%, under Topic 605), compared to the year ended December 31, 2018 under Topic 605. The change is due to the factors stated above.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16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3"/>
        </w:trPr>
        <w:tc>
          <w:tcPr>
            <w:tcW w:w="49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$186,598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$135,471</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3033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For the year ended December 31, 2019, Adjusted EBITDA under Topic 606 increased by $16,361 (or $14,830 under Topic 605) compared to the year ended December 31, 2018 under Topic 605. These increases were primarily due to an increase in income from operations, net of adjustments discussed in the section titled “Selected Consolidated Financial Data.” The larger increase under Topic 606 is primarily driven by the upfront recognition of perpetual license revenue under Topic 606 as compared to ratable recognition over a three- year period under Topic 605, partially offset by lower subscription revenue due to ELS to E365 conversions. For additional information, see the section titled “— Key Factors Impacting Comparability and Performance.”</w:t>
      </w:r>
    </w:p>
    <w:p>
      <w:pPr>
        <w:spacing w:after="0" w:line="306"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Under Topic 605, Adjusted EBITDA as a percentage of revenue was 24.8% and 25.4% for the years ended December 31, 2018 and 2019, respectively. Under Topic 606, Adjusted EBITDA as a percentage of revenue was 25.5% for the year ended December 31, 2019.</w:t>
      </w:r>
    </w:p>
    <w:p>
      <w:pPr>
        <w:spacing w:after="0" w:line="109"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2019, Adjusted Net Income under Topic 606 increased by $2,803 (or $3,225 under Topic 605) compared to the year ended December 31, 2018 under Topic 605. These increases were primarily due to an increase in income from operations net of adjustments discussed in the section titled “Selected Consolidated Financial Data.” The increase in Adjusted Net Income under Topic 606, when compared to Topic 605, was positively impacted by the upfront recognition of perpetual license revenue as</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699"/>
        <w:spacing w:after="0" w:line="266" w:lineRule="auto"/>
        <w:rPr>
          <w:sz w:val="20"/>
          <w:szCs w:val="20"/>
          <w:color w:val="auto"/>
        </w:rPr>
      </w:pPr>
      <w:r>
        <w:rPr>
          <w:rFonts w:ascii="Times New Roman" w:cs="Times New Roman" w:eastAsia="Times New Roman" w:hAnsi="Times New Roman"/>
          <w:sz w:val="18"/>
          <w:szCs w:val="18"/>
          <w:color w:val="auto"/>
        </w:rPr>
        <w:t>compared to ratable recognition over a three-year period under Topic 605. This increase was offset by lower subscription revenue due to ELS to E365 conversions and a slightly higher provision for income taxes under Topic 606 when compared to Topic 605.</w:t>
      </w:r>
    </w:p>
    <w:p>
      <w:pPr>
        <w:spacing w:after="0" w:line="95"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Under Topic 605, Adjusted Net Income as a percentage of revenue was 19.1% and 18.4% for the years ended December 31, 2018 and 2019, respectively. Under Topic 606, Adjusted Net Income as a percentage of revenue was 18.3% for the year ended December 31, 2019.</w:t>
      </w:r>
    </w:p>
    <w:p>
      <w:pPr>
        <w:spacing w:after="0" w:line="108"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quarterly unaudited consolidated statements of operations for each of the quarters in the ten-quarter period ended June 30, 2020. Our quarterly results of operations have been prepared on the same basis as our audited consolidated financial statements, and we believe they reflect all normal recurring adjustments necessary for the fair presentation of our results of operations for these periods. This information should be read in conjunction with our consolidated financial statements and related notes included elsewhere in the prospectus. These quarterly results of operations are not necessarily indicative of our results of operations for a full year or any future period. Results of operations for the four quarters in the year ended December 31, 2018 are presented under Topic 605 while the four quarters in the year ended December 31, 2019 and the two quarters in the period ended June 30, 2020 are presented under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Q4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Q2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Q4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Q1 2020</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Q2 2020</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Subscriptions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137,807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139,013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137,881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142,720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152,309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137,838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155,191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162,962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170,182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157,655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Perpetual licenses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15,443</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9,409</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15,059</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13,787</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21,438</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152,667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154,859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153,324</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157,636</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161,718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152,897</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168,978</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184,400</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180,996</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170,034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Services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18,160</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19,114</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15,821</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16,708</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17,610</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169,417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174,059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171,484</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176,750</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177,539</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169,605</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186,588</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202,922</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194,690</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184,290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subscriptions and licenses</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12,892</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12,454</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15,450</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14,317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14,342</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16,489</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17,370</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23,377</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21,327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services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22,432</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17,768</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18,744</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18,225</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20,142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17,681</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16,524</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15,932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cost of revenues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33,218</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33,061</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32,567</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36,631</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35,051</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39,901</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37,259</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139,258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139,173</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138,266</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143,689</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144,972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132,974</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151,537</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163,021</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157,431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147,585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40,983</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43,822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42,793</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47,434</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44,477</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47,384</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44,756</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46,935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35,886</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39,047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38,235</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47,467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35,982</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39,186</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36,721</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43,405</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36,095</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20,906</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23,414</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22,171</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22,837</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22,804</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23,503</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25,108</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26,165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purchased</w:t>
            </w:r>
          </w:p>
        </w:tc>
        <w:tc>
          <w:tcPr>
            <w:tcW w:w="8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8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4,039</w:t>
            </w: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3,420</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3,432</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3,811</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3,436</w:t>
            </w:r>
          </w:p>
        </w:tc>
        <w:tc>
          <w:tcPr>
            <w:tcW w:w="100" w:type="dxa"/>
            <w:vAlign w:val="bottom"/>
          </w:tcPr>
          <w:p>
            <w:pPr>
              <w:spacing w:after="0"/>
              <w:rPr>
                <w:sz w:val="20"/>
                <w:szCs w:val="2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intangibles</w:t>
            </w: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100,116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109,945</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107,157</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121,777</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106,682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113,506</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110,135</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120,316</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111,470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102,994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from operations</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31,109</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21,912</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38,290</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19,468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41,402</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42,705</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45,961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(2,248)</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(2,276)</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(5,253)</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3,506</w:t>
            </w:r>
          </w:p>
        </w:tc>
        <w:tc>
          <w:tcPr>
            <w:tcW w:w="8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(12,306)</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8,496</w:t>
            </w:r>
          </w:p>
        </w:tc>
        <w:tc>
          <w:tcPr>
            <w:tcW w:w="8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26,735</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28,356</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21,712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30,755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20,782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27,067</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1,543</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5,052</w:t>
            </w: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(40,625)</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4,318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11,979</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joint venture, net of</w:t>
            </w:r>
          </w:p>
        </w:tc>
        <w:tc>
          <w:tcPr>
            <w:tcW w:w="8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0"/>
                <w:szCs w:val="2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w:t>
            </w: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25,192</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23,304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62,337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26,437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36,251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-788035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-788035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-788035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-788035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-788035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-788035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-788035</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-788035</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-788035</wp:posOffset>
            </wp:positionV>
            <wp:extent cx="2168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-1439545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-1439545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-1439545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-1439545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-1439545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-1439545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-1439545</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-1439545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-1439545</wp:posOffset>
            </wp:positionV>
            <wp:extent cx="21685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-2502535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-2502535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-2502535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-2502535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-2502535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-2502535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-2502535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-2502535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-2502535</wp:posOffset>
            </wp:positionV>
            <wp:extent cx="2168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-3154045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-3154045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-3154045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-3154045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-3154045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-3154045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-3154045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-3154045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-3154045</wp:posOffset>
            </wp:positionV>
            <wp:extent cx="2168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-4122420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-4122420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-4122420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-4122420</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-4122420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-4122420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-4122420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-4122420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-4122420</wp:posOffset>
            </wp:positionV>
            <wp:extent cx="2160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18" w:lineRule="exact"/>
        <w:rPr>
          <w:sz w:val="20"/>
          <w:szCs w:val="20"/>
          <w:color w:val="auto"/>
        </w:rPr>
      </w:pPr>
    </w:p>
    <w:p>
      <w:pPr>
        <w:ind w:left="1260" w:right="8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We applied the standard only to contracts that were not completed as of the date of initial application. The comparative information for each of the four quarters in the year ended December 31, 2018 has not been adjusted and continues to be reported under Topic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14" w:right="1299"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Q4 2018</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Q2 2019</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Q4 2019</w:t>
            </w:r>
          </w:p>
        </w:tc>
      </w:tr>
      <w:tr>
        <w:trPr>
          <w:trHeight w:val="23"/>
        </w:trPr>
        <w:tc>
          <w:tcPr>
            <w:tcW w:w="2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Revenues (Topic 605):</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Subscriptions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$146,372</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$149,360</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$154,225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$163,968</w:t>
            </w:r>
          </w:p>
        </w:tc>
      </w:tr>
      <w:tr>
        <w:trPr>
          <w:trHeight w:val="251"/>
        </w:trPr>
        <w:tc>
          <w:tcPr>
            <w:tcW w:w="20" w:type="dxa"/>
            <w:vAlign w:val="bottom"/>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Perpetual licenses</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w:t>
            </w:r>
          </w:p>
        </w:tc>
      </w:tr>
      <w:tr>
        <w:trPr>
          <w:trHeight w:val="208"/>
        </w:trPr>
        <w:tc>
          <w:tcPr>
            <w:tcW w:w="20" w:type="dxa"/>
            <w:vAlign w:val="bottom"/>
          </w:tcPr>
          <w:p>
            <w:pPr>
              <w:spacing w:after="0"/>
              <w:rPr>
                <w:sz w:val="18"/>
                <w:szCs w:val="18"/>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Subscriptions and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licenses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159,326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162,217</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167,313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177,588</w:t>
            </w:r>
          </w:p>
        </w:tc>
      </w:tr>
      <w:tr>
        <w:trPr>
          <w:trHeight w:val="258"/>
        </w:trPr>
        <w:tc>
          <w:tcPr>
            <w:tcW w:w="20" w:type="dxa"/>
            <w:vAlign w:val="bottom"/>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19,161</w:t>
            </w:r>
          </w:p>
        </w:tc>
      </w:tr>
      <w:tr>
        <w:trPr>
          <w:trHeight w:val="290"/>
        </w:trPr>
        <w:tc>
          <w:tcPr>
            <w:tcW w:w="20" w:type="dxa"/>
            <w:vAlign w:val="bottom"/>
          </w:tcPr>
          <w:p>
            <w:pPr>
              <w:spacing w:after="0"/>
              <w:rPr>
                <w:sz w:val="24"/>
                <w:szCs w:val="24"/>
                <w:color w:val="auto"/>
              </w:rPr>
            </w:pPr>
          </w:p>
        </w:tc>
        <w:tc>
          <w:tcPr>
            <w:tcW w:w="21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$169,417</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$174,059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$171,484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$176,750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$175,177</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$179,180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$183,743</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$196,749</w:t>
            </w:r>
          </w:p>
        </w:tc>
      </w:tr>
      <w:tr>
        <w:trPr>
          <w:trHeight w:val="217"/>
        </w:trPr>
        <w:tc>
          <w:tcPr>
            <w:tcW w:w="20" w:type="dxa"/>
            <w:vAlign w:val="bottom"/>
          </w:tcPr>
          <w:p>
            <w:pPr>
              <w:spacing w:after="0"/>
              <w:rPr>
                <w:sz w:val="18"/>
                <w:szCs w:val="18"/>
                <w:color w:val="auto"/>
              </w:rPr>
            </w:pPr>
          </w:p>
        </w:tc>
        <w:tc>
          <w:tcPr>
            <w:tcW w:w="2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Revenues (Topic 606):</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Subscriptions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$147,248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$152,309</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$137,838</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$155,191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$162,962</w:t>
            </w:r>
          </w:p>
        </w:tc>
      </w:tr>
      <w:tr>
        <w:trPr>
          <w:trHeight w:val="264"/>
        </w:trPr>
        <w:tc>
          <w:tcPr>
            <w:tcW w:w="20" w:type="dxa"/>
            <w:vAlign w:val="bottom"/>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Perpetual licenses</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r>
      <w:tr>
        <w:trPr>
          <w:trHeight w:val="221"/>
        </w:trPr>
        <w:tc>
          <w:tcPr>
            <w:tcW w:w="20" w:type="dxa"/>
            <w:vAlign w:val="bottom"/>
          </w:tcPr>
          <w:p>
            <w:pPr>
              <w:spacing w:after="0"/>
              <w:rPr>
                <w:sz w:val="19"/>
                <w:szCs w:val="19"/>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Subscriptions and</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licenses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161,718</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152,897</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168,978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184,400</w:t>
            </w:r>
          </w:p>
        </w:tc>
      </w:tr>
      <w:tr>
        <w:trPr>
          <w:trHeight w:val="271"/>
        </w:trPr>
        <w:tc>
          <w:tcPr>
            <w:tcW w:w="20" w:type="dxa"/>
            <w:vAlign w:val="bottom"/>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Services</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18,522</w:t>
            </w:r>
          </w:p>
        </w:tc>
      </w:tr>
      <w:tr>
        <w:trPr>
          <w:trHeight w:val="263"/>
        </w:trPr>
        <w:tc>
          <w:tcPr>
            <w:tcW w:w="20" w:type="dxa"/>
            <w:vAlign w:val="bottom"/>
          </w:tcPr>
          <w:p>
            <w:pPr>
              <w:spacing w:after="0"/>
              <w:rPr>
                <w:sz w:val="22"/>
                <w:szCs w:val="22"/>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$177,539</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$169,605</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$186,588</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$202,922</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-2365375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-2365375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-2365375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-2365375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-2365375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-2365375</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-2365375</wp:posOffset>
            </wp:positionV>
            <wp:extent cx="18427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83" w:lineRule="exact"/>
        <w:rPr>
          <w:sz w:val="20"/>
          <w:szCs w:val="20"/>
          <w:color w:val="auto"/>
        </w:rPr>
      </w:pPr>
    </w:p>
    <w:p>
      <w:pPr>
        <w:ind w:left="1620" w:right="739" w:hanging="358"/>
        <w:spacing w:after="0" w:line="259"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ended December 31, 2019 give effect to revenue adjustment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27" w:lineRule="exact"/>
        <w:rPr>
          <w:rFonts w:ascii="Times New Roman" w:cs="Times New Roman" w:eastAsia="Times New Roman" w:hAnsi="Times New Roman"/>
          <w:sz w:val="18"/>
          <w:szCs w:val="18"/>
          <w:color w:val="auto"/>
        </w:rPr>
      </w:pPr>
    </w:p>
    <w:p>
      <w:pPr>
        <w:ind w:left="1620" w:right="699" w:hanging="358"/>
        <w:spacing w:after="0" w:line="269"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in the year ended December 31, 2018 are unaudited and give effect to revenue adjustments as if the adoption of Topic 606 had occurred as of January 1, 2018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remained substantially unchanged and was not adjusted. See Note 2 to our consolidated financial statements included elsewhere in this prospectus for additional information regarding the adoption of Topic 606. Reconciliation of Topic 605 to Topic 606:</w:t>
      </w:r>
    </w:p>
    <w:p>
      <w:pPr>
        <w:spacing w:after="0" w:line="3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$ 4,095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$141,902</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395"/>
        </w:trPr>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$(5,872)</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$133,141</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r>
      <w:tr>
        <w:trPr>
          <w:trHeight w:val="381"/>
        </w:trPr>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5"/>
        </w:trPr>
        <w:tc>
          <w:tcPr>
            <w:tcW w:w="3100" w:type="dxa"/>
            <w:vAlign w:val="bottom"/>
          </w:tcPr>
          <w:p>
            <w:pPr>
              <w:spacing w:after="0"/>
              <w:rPr>
                <w:sz w:val="16"/>
                <w:szCs w:val="16"/>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4"/>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313</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$138,194</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-2047875</wp:posOffset>
            </wp:positionV>
            <wp:extent cx="43033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-1190625</wp:posOffset>
            </wp:positionV>
            <wp:extent cx="43033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-333375</wp:posOffset>
            </wp:positionV>
            <wp:extent cx="43033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December 31,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$147,248</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3033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portion of our revenues and operating expenses were derived from outside the United States and as such, were denominated in various foreign currencies, including most significantly: Euros, British Pounds, Australian Dollars, Canadian Dollars, and Chinese Yuan Renminbi. Our quarterly results are therefore impacted by changes in foreign currency rates. Starting in the quarter ended March 31, 2018, and continuing into the quarter ended June 30, 2020, the U.S. Dollar strengthened relative to other foreign currencies in which we generate revenues and incur expenses. However, towards the end of the quarter ended June 30, 2020, the U.S. Dollar began to weaken relative to other foreign currencies in which we generate revenues and incur expenses Accordingly, our results of operations have been, and in the future will be, affected by changes in foreign exchange rates. See the section titled “Key Factors Impacting Comparability and Performance — Impact of foreign currency.”</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revenues are primarily comprised of recurring subscription revenues. Historically, we have experienced growth in subscription revenues within existing accounts when their contracts renew, and typically, we have a higher level of renewals occur in the first and fourth quarter of each year. This renewal cycle is primarily based on the timing of when accounts first entered into their subscription contracts. Under Topic 605, subscription revenues were recognized on a ratable basis over the subscription term and generally showed an increase in each period presented. Under Topic 606, our quarterly subscriptions revenues and profitability are impacted by the subscription term as well as the term start date of new and renewals subscriptions, due to the upfront revenue recognition of the associated term license component. Topic 606 therefore introduces volatility between quarters with our first and fourth quarter generally showing higher subscription revenues. However, on an annual and trailing twelve- month basis, we generally expect our subscription revenues recognized under Topic 606 to be comparable to such revenues recognized under Topic 605. This is attributable to the annual, recurring nature of our subscription agreements.</w:t>
      </w:r>
    </w:p>
    <w:p>
      <w:pPr>
        <w:spacing w:after="0" w:line="112"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The conversion of our existing subscription users to consumption-based offerings with consumption measurement durations of less than one year, such as our E365 program, will further introduce some volatility between annual, quarterly, and trailing twelve-month periods and impact period over period comparability under Topic 606. This is because the term-based software license is recognized upfront upon delivery for subscription-based offerings, but upon usage for prepaid consumption-based offerings. See the section titled “— Key Factors Impacting Comparability and Performance.”</w:t>
      </w:r>
    </w:p>
    <w:p>
      <w:pPr>
        <w:spacing w:after="0" w:line="116"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Under Topic 605, revenue for perpetual licenses was recognized over a three-year period, due to the portfolio balancing feature users obtain through their SELECT subscriptions. Under Topic 606, our perpetual licenses revenues are recognized upon delivery and will closely align with the respective license sales of the period. Typically, we have a higher level of perpetual license sales in the fourth quarter of each year.</w:t>
      </w:r>
    </w:p>
    <w:p>
      <w:pPr>
        <w:spacing w:after="0" w:line="326"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Our quarterly revenue for professional services may also fluctuate depending on the timing of our accounts requests for additional services and the related implementation cycles.</w:t>
      </w:r>
    </w:p>
    <w:p>
      <w:pPr>
        <w:spacing w:after="0" w:line="81"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Increases in organic revenues over the ten quarters presented were offset by negative foreign currency impacts due to a stronger U.S. Dollar relative to our other functional currencies.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employees) and the corresponding incentives, benefits, employment taxes, and travel-related costs. Our headcount-related costs are variable in nature. We actively manage these costs to align to our trending run rate of revenue performance, with the objective of enhancing visibility to better predict the resulting operating profit margins.</w:t>
      </w:r>
    </w:p>
    <w:p>
      <w:pPr>
        <w:spacing w:after="0" w:line="99" w:lineRule="exact"/>
        <w:rPr>
          <w:sz w:val="20"/>
          <w:szCs w:val="20"/>
          <w:color w:val="auto"/>
        </w:rPr>
      </w:pPr>
    </w:p>
    <w:p>
      <w:pPr>
        <w:ind w:left="1260" w:right="1019" w:firstLine="360"/>
        <w:spacing w:after="0" w:line="256" w:lineRule="auto"/>
        <w:rPr>
          <w:sz w:val="20"/>
          <w:szCs w:val="20"/>
          <w:color w:val="auto"/>
        </w:rPr>
      </w:pPr>
      <w:r>
        <w:rPr>
          <w:rFonts w:ascii="Times New Roman" w:cs="Times New Roman" w:eastAsia="Times New Roman" w:hAnsi="Times New Roman"/>
          <w:sz w:val="18"/>
          <w:szCs w:val="18"/>
          <w:color w:val="auto"/>
        </w:rPr>
        <w:t>Our quarterly operating expenses are impacted by the timing of headcount adjustments including additions from acquisitions and realignment programs, the timing of annual raises and variable compensation, product development cycles, and sales and marketing programs. We experience some seasonality in spending related to sales and marketing based on the timing of our participation in certain trade shows and conferences. Typically, we incur higher sales and marketing expenses during the fourth quarter of each year. We cannot assure you, however, that these trends will continue.</w:t>
      </w:r>
    </w:p>
    <w:p>
      <w:pPr>
        <w:spacing w:after="0" w:line="120"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Our aggregate cost of revenues, research and development, selling and marketing, and general and administrative costs increased over the ten quarters presented and were partly offset by foreign currency impacts due to a stronger U.S. Dollar relative to our other functional currencies.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10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United States. As of December 31, 2018 and 2019, 95% and 98%, respectively, of our total cash and cash equivalents were located outside of the United States. As of June 30, 2020, 72% of our total cash and cash equivalents were located outside of the United States. Under the Tax Cuts and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2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 See the section titled “Risk Factors — Risks Related to Our Business — We may need to raise additional capital, which may not be available to us.”</w:t>
      </w:r>
    </w:p>
    <w:p>
      <w:pPr>
        <w:spacing w:after="0" w:line="34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 consider all highly liquid investments with an original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ectPr>
          <w:pgSz w:w="11900" w:h="16838" w:orient="portrait"/>
          <w:cols w:equalWidth="0" w:num="1">
            <w:col w:w="10139"/>
          </w:cols>
          <w:pgMar w:left="320" w:top="114"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domestically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by foreign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77,395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118,810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0" w:type="dxa"/>
            <w:vAlign w:val="bottom"/>
          </w:tcPr>
          <w:p>
            <w:pPr>
              <w:spacing w:after="0"/>
              <w:rPr>
                <w:sz w:val="1"/>
                <w:szCs w:val="1"/>
                <w:color w:val="auto"/>
              </w:rPr>
            </w:pPr>
          </w:p>
        </w:tc>
      </w:tr>
      <w:tr>
        <w:trPr>
          <w:trHeight w:val="26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81,183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121,101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125,516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033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The amount of cash and cash equivalents held by foreign subsidiaries is subject to translation adjustments caused by changes in foreign currency exchange rates as of the end of each respective reporting period, the offset to which is recorded in accumulated other comprehensive loss on our consolidated balance sheet.</w:t>
      </w:r>
    </w:p>
    <w:p>
      <w:pPr>
        <w:spacing w:after="0" w:line="330" w:lineRule="exact"/>
        <w:rPr>
          <w:sz w:val="20"/>
          <w:szCs w:val="20"/>
          <w:color w:val="auto"/>
        </w:rPr>
      </w:pPr>
    </w:p>
    <w:p>
      <w:pPr>
        <w:ind w:left="1260" w:right="9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December 19, 2017, we entered into the Credit Facility, which matures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18, 2022. Upon entry into this agreement, we obtained a $500,000 senior secured revolving facility and refinanced all indebtedness outstanding under our prior facility.</w:t>
      </w:r>
    </w:p>
    <w:p>
      <w:pPr>
        <w:spacing w:after="0" w:line="94"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sub-facility. We had $631, $546, and $150 of letters of credit and surety bonds outstanding as of December 31, 2018, December 31, 2019, and June 30, 2020, respectively. We had $240,619, $265,704, and $292,850 available under the Credit Facility as of December 31, 2018, December 31, 2019, and June 30, 2020, respectively.</w:t>
      </w:r>
    </w:p>
    <w:p>
      <w:pPr>
        <w:spacing w:after="0" w:line="12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On September 2, 2020, we entered into the First Amendment to the Credit Facility. The First Amendment provided the New Term Loan of $125.0 million with a maturity of December 18, 2022 and included certain other amendments, including the addition of a mandatory prepayment provision requiring us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 We used borrowings under the New Term Loan and under the revolving facility under the Credit Facility to pay the Special Dividend of $1.50 per share of our common stock (approximately $390 million in the aggregate) and a regular quarterly dividend of $0.03 per share of our common stock. See the section titled “Prospectus Summary — Recent Developments — New Term Loan and Payment of Special Dividend.”</w:t>
      </w:r>
    </w:p>
    <w:p>
      <w:pPr>
        <w:spacing w:after="0" w:line="34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Under the Credit Facility, we may make either Euro currency or non-Euro currency interest rate elections. Interest on the Euro currency borrowings is at the one-month LIBOR plus a spread ranging from 100 basis points (“bps”) to 225 bps as determined by our net leverage ratio. Under the non-Euro currency elections, Credit Facility borrowings bear a base interest rate of the greater of (i) the prime rate, (ii) the overnight bank funding effective rate plus 50 bps, or (iii) LIBOR plus 100 bps, plus a spread ranging from 0 bps to 125 bps as determined by our leverage ratio. In addition, a commitment fee for the unused Credit Facility ranges from 15 bps to 30 bps as determined by our net leverage ratio.</w:t>
      </w:r>
    </w:p>
    <w:p>
      <w:pPr>
        <w:spacing w:after="0" w:line="108"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first-tier domestic subsidiaries and are secured by a first priority security interest in substantially all of our and the guarantors’ U.S. assets and 65% of the stock of their directly owned foreign subsidiaries. The agreement governing the Credit Facility contains both affirmative and negative covenants, including maximum leverage ratios. At December 31, 2018, December 31, 2019, and June 30, 2020, we were in compliance with all covenants in our Credit Facility.</w:t>
      </w:r>
    </w:p>
    <w:p>
      <w:pPr>
        <w:spacing w:after="0" w:line="336"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Interest rate risk associated with the Credit Facility is managed through an interest rate swap that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balance sheet and carry the derivative at fair value. Gains and losses from the change in fair value are recognized in Other income (expense), net, in the consolidated statements of operations. At June 30, 2020, the fair value of the swap was $4,174.</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As of December 31, 2018, accrued interest and fees were $31. Interest expense was $8,800 and $8,971 for the years ended December 31, 2018 and 2019, respectively.</w:t>
      </w:r>
    </w:p>
    <w:p>
      <w:pPr>
        <w:spacing w:after="0" w:line="95"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As of June 30, 2020, accrued interest and fees were $33. Interest expense was $4,600 and $2,544 for the six months ended June 30, 2019 and 2020, respectively.</w:t>
      </w:r>
    </w:p>
    <w:p>
      <w:pPr>
        <w:spacing w:after="0" w:line="10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 respectively and $277 for each of the six months ended June 30, 2019 and 2020.</w:t>
      </w:r>
    </w:p>
    <w:p>
      <w:pPr>
        <w:spacing w:after="0" w:line="10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$10,000, certain events of bankruptcy and insolvency, judgment defaults in excess of $10,000, failure of any security document supporting the Credit Facility to be in full force and effect, and a change of control.</w:t>
      </w:r>
    </w:p>
    <w:p>
      <w:pPr>
        <w:spacing w:after="0" w:line="10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Voluntary prepayments of amounts outstanding under the Credit Facility, in whole or in part, are permitted at any time, so long as we give notice as required by the Credit Facility. However, if prepayment is made with respect to a LIBOR-based loan and the prepayment is made on a date other than an interest payment date, we must pay customary breakage costs.</w:t>
      </w:r>
    </w:p>
    <w:p>
      <w:pPr>
        <w:spacing w:after="0" w:line="11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This summary of the terms of the Credit Facility is qualified in its entirety by reference to the agreement, which is filed as an exhibit to the registration statement of which this prospectus forms a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16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 activities for the six months ended June 30, 2019 and 2020:</w:t>
      </w:r>
    </w:p>
    <w:p>
      <w:pPr>
        <w:spacing w:after="0" w:line="11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22225</wp:posOffset>
            </wp:positionV>
            <wp:extent cx="10115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$ 82,758</w:t>
            </w:r>
          </w:p>
        </w:tc>
        <w:tc>
          <w:tcPr>
            <w:tcW w:w="2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$136,182</w:t>
            </w:r>
          </w:p>
        </w:tc>
        <w:tc>
          <w:tcPr>
            <w:tcW w:w="60" w:type="dxa"/>
            <w:vAlign w:val="bottom"/>
          </w:tcPr>
          <w:p>
            <w:pPr>
              <w:spacing w:after="0"/>
              <w:rPr>
                <w:sz w:val="22"/>
                <w:szCs w:val="22"/>
                <w:color w:val="auto"/>
              </w:rPr>
            </w:pPr>
          </w:p>
        </w:tc>
      </w:tr>
      <w:tr>
        <w:trPr>
          <w:trHeight w:val="25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$(18,157)</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7"/>
              </w:rPr>
              <w:t>$ (78,979)</w:t>
            </w:r>
          </w:p>
        </w:tc>
        <w:tc>
          <w:tcPr>
            <w:tcW w:w="60" w:type="dxa"/>
            <w:vAlign w:val="bottom"/>
          </w:tcPr>
          <w:p>
            <w:pPr>
              <w:spacing w:after="0"/>
              <w:rPr>
                <w:sz w:val="22"/>
                <w:szCs w:val="22"/>
                <w:color w:val="auto"/>
              </w:rPr>
            </w:pP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$(42,004)</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 (52,556)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-659765</wp:posOffset>
            </wp:positionV>
            <wp:extent cx="43033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provided by operating activities were $82,758 primarily due to net income of $46,418 increased by $22,024 of non-cash adjustments and $14,316 from changes in operating assets and liabilities.</w:t>
      </w:r>
    </w:p>
    <w:p>
      <w:pPr>
        <w:spacing w:after="0" w:line="95"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$136,182 during the six months ended June 30, 2020. Compared to the prior year comparative period, net cash from operating activities was higher by $53,424 due to an increase in net income of $22,327, a net increase in non-cash adjustments of $12,527, and an increase in net cash flows from the change in operating assets and liabilities of $18,570. The net increase in non-cash adjustments primarily related to a $1,298 increase in depreciation and amortization, an increase of $7,638 in deferred income taxes, an increase of $4,015 related to the change in the fair value of the interest rate swap, and an increase of $2,308 related to foreign currency remeasurement losses. The net increase in cash flows from changes in operating assets and liabilities of $18,570 was due to increased cash flows related to the collection of accounts receivable, net of $4,407, an increase from the change in prepaid and other assets of $16,586, and an increase from the change in income taxes payable of $9,990, offset by a decrease from the change in accounts payable, accruals and other liabilities of $8,239 and a decrease from the change in deferred revenues of $4,174.</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2019, net cash used in investing activities was $18,157, primarily due to $8,123 related to purchases of property and equipment and investment in capitalized software and $9,662 in acquisition related payments, net of cash acquired.</w:t>
      </w:r>
    </w:p>
    <w:p>
      <w:pPr>
        <w:spacing w:after="0" w:line="10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$78,979 during the six months ended June 30, 2020, primarily due to $9,419 related to purchases of property and equipment and investment in capitalized software and $67,595 in acquisition related payments, net of cash acquired.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2019, net cash used in financing activities was $42,004, primarily due to net payments under the Credit Facility of $11,750, payment of a contingent acquisition liability of $8,273, payments of dividends of $12,641, and net payments for shares acquired of $11,517.</w:t>
      </w:r>
    </w:p>
    <w:p>
      <w:pPr>
        <w:spacing w:after="0" w:line="96"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was $52,556 during the six months ended June 30, 2020. Compared to the prior year comparative period, net cash used in financing activities increased by $ 10,552, primarily due to an increase in net repayments of $15,000 under the Credit Facility and an increase in payments for dividends of $3,260, partly offset by a decrease in the payment of acquisition debt and other consideration of $7,182, and a decrease in net payments for share repurchases of $559.</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5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5820" w:type="dxa"/>
            <w:vAlign w:val="bottom"/>
          </w:tcPr>
          <w:p>
            <w:pPr>
              <w:spacing w:after="0"/>
              <w:rPr>
                <w:sz w:val="17"/>
                <w:szCs w:val="17"/>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$ 161,465</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c>
          <w:tcPr>
            <w:tcW w:w="60" w:type="dxa"/>
            <w:vAlign w:val="bottom"/>
          </w:tcPr>
          <w:p>
            <w:pPr>
              <w:spacing w:after="0"/>
              <w:rPr>
                <w:sz w:val="22"/>
                <w:szCs w:val="22"/>
                <w:color w:val="auto"/>
              </w:rPr>
            </w:pPr>
          </w:p>
        </w:tc>
      </w:tr>
      <w:tr>
        <w:trPr>
          <w:trHeight w:val="25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(154,757)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60" w:type="dxa"/>
            <w:vAlign w:val="bottom"/>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(58,799)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-668020</wp:posOffset>
            </wp:positionV>
            <wp:extent cx="43033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provided by operating activities was $161,465, due to net income of $142,112 increased by $43,464 of non-cash adjustments and $35,949 from changes in operating assets and liabilities, offset by $60,060 of non-cash tax benefits.</w:t>
      </w:r>
    </w:p>
    <w:p>
      <w:pPr>
        <w:spacing w:after="0" w:line="1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Net cash provided by operating activities was $170,773 during the year ended December 31, 2019. Compared to the prior year comparative period, net cash from operating activities was higher by $9,308 due to a net increase in non -cash adjustments of $69,795, offset by a decrease in net income of $39,016 and a decrease from changes in operating assets and liabilities of $21,471. The net increase in non-cash adjustments primarily related to a $60,792 increase in deferred income taxes as well as an increase of $6,956 related to foreign currency remeasurement losses. The net decrease in cash flows from changes in operating assets and liabilities of $21,471 was primarily due to decrease in deferred revenues of $21,515, a decrease from the changes in income taxes payable of $21,723, partially offset by the decreased collection of accounts receivable, net of $20,635 and an increase from the change in accounts payable, accruals and other liabilities of $4,631.</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used in investing activities was $154,757, primarily due to $18,616 related to purchases of property and equipment and investment in capitalized software and $135,264 in acquisition related payments, net of cash acquired.</w:t>
      </w:r>
    </w:p>
    <w:p>
      <w:pPr>
        <w:spacing w:after="0" w:line="96" w:lineRule="exact"/>
        <w:rPr>
          <w:sz w:val="20"/>
          <w:szCs w:val="20"/>
          <w:color w:val="auto"/>
        </w:rPr>
      </w:pPr>
    </w:p>
    <w:p>
      <w:pPr>
        <w:jc w:val="both"/>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$53,693 during the year ended December 31, 2019, primarily due to $15,804 related to purchases of property and equipment and investment in capitalized software and $34,054 in acquisition related payments, net of cash acquired.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used in financing activities was $58,799, primarily due to net repayments under the Credit Facility of $11,250, payments of dividends of $20,059, and net payments for shares acquired of $30,231.</w:t>
      </w:r>
    </w:p>
    <w:p>
      <w:pPr>
        <w:spacing w:after="0" w:line="109"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was $77,048 during the year ended December 31, 2019. Compared to the prior year comparative period, net cash used in financing activities increased by $ 18,249, primarily due to an increase in net repayments of $13,750 under the Credit Facility, an increase in the payment of acquisition debt and other consideration of $11,038, and an increase in payments for dividends of $4,930, partially offset by a decrease in net payments for share repurchases of $10,575.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represents our contractual commitments as of December 31, 2019. The information presented in the table below reflects management’s estimates of the contractual maturities of our obligations. These maturities may differ from the actual maturities of these obligations.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6"/>
          <w:szCs w:val="26"/>
          <w:color w:val="auto"/>
          <w:vertAlign w:val="superscript"/>
        </w:rPr>
        <w:t>(1)</w:t>
      </w:r>
    </w:p>
    <w:p>
      <w:pPr>
        <w:ind w:left="1260"/>
        <w:spacing w:after="0" w:line="216" w:lineRule="auto"/>
        <w:rPr>
          <w:sz w:val="20"/>
          <w:szCs w:val="20"/>
          <w:color w:val="auto"/>
        </w:rPr>
      </w:pPr>
      <w:r>
        <w:rPr>
          <w:rFonts w:ascii="Times New Roman" w:cs="Times New Roman" w:eastAsia="Times New Roman" w:hAnsi="Times New Roman"/>
          <w:sz w:val="18"/>
          <w:szCs w:val="18"/>
          <w:color w:val="auto"/>
        </w:rPr>
        <w:t>Interest on long-term debt</w:t>
      </w:r>
      <w:r>
        <w:rPr>
          <w:rFonts w:ascii="Times New Roman" w:cs="Times New Roman" w:eastAsia="Times New Roman" w:hAnsi="Times New Roman"/>
          <w:sz w:val="26"/>
          <w:szCs w:val="26"/>
          <w:color w:val="auto"/>
          <w:vertAlign w:val="superscript"/>
        </w:rPr>
        <w:t>(1)</w:t>
      </w:r>
    </w:p>
    <w:p>
      <w:pPr>
        <w:ind w:left="1260"/>
        <w:spacing w:after="0" w:line="217" w:lineRule="auto"/>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6"/>
          <w:szCs w:val="26"/>
          <w:color w:val="auto"/>
          <w:vertAlign w:val="superscript"/>
        </w:rPr>
        <w:t>(2)</w:t>
      </w:r>
    </w:p>
    <w:p>
      <w:pPr>
        <w:ind w:left="1260"/>
        <w:spacing w:after="0" w:line="217" w:lineRule="auto"/>
        <w:rPr>
          <w:sz w:val="20"/>
          <w:szCs w:val="20"/>
          <w:color w:val="auto"/>
        </w:rPr>
      </w:pPr>
      <w:r>
        <w:rPr>
          <w:rFonts w:ascii="Times New Roman" w:cs="Times New Roman" w:eastAsia="Times New Roman" w:hAnsi="Times New Roman"/>
          <w:sz w:val="18"/>
          <w:szCs w:val="18"/>
          <w:color w:val="auto"/>
        </w:rPr>
        <w:t>Deferred compensation obligations</w:t>
      </w:r>
      <w:r>
        <w:rPr>
          <w:rFonts w:ascii="Times New Roman" w:cs="Times New Roman" w:eastAsia="Times New Roman" w:hAnsi="Times New Roman"/>
          <w:sz w:val="26"/>
          <w:szCs w:val="26"/>
          <w:color w:val="auto"/>
          <w:vertAlign w:val="superscript"/>
        </w:rPr>
        <w:t>(3)</w:t>
      </w:r>
    </w:p>
    <w:p>
      <w:pPr>
        <w:ind w:left="1260"/>
        <w:spacing w:after="0" w:line="216" w:lineRule="auto"/>
        <w:rPr>
          <w:sz w:val="20"/>
          <w:szCs w:val="20"/>
          <w:color w:val="auto"/>
        </w:rPr>
      </w:pPr>
      <w:r>
        <w:rPr>
          <w:rFonts w:ascii="Times New Roman" w:cs="Times New Roman" w:eastAsia="Times New Roman" w:hAnsi="Times New Roman"/>
          <w:sz w:val="18"/>
          <w:szCs w:val="18"/>
          <w:color w:val="auto"/>
        </w:rPr>
        <w:t>Contingent obligations</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Non-contingent obligations</w:t>
      </w:r>
      <w:r>
        <w:rPr>
          <w:rFonts w:ascii="Times New Roman" w:cs="Times New Roman" w:eastAsia="Times New Roman" w:hAnsi="Times New Roman"/>
          <w:sz w:val="26"/>
          <w:szCs w:val="26"/>
          <w:color w:val="auto"/>
          <w:vertAlign w:val="superscript"/>
        </w:rPr>
        <w:t>(5)</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99060</wp:posOffset>
            </wp:positionV>
            <wp:extent cx="12344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5800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After</w:t>
            </w:r>
          </w:p>
        </w:tc>
      </w:tr>
      <w:tr>
        <w:trPr>
          <w:trHeight w:val="190"/>
        </w:trPr>
        <w:tc>
          <w:tcPr>
            <w:tcW w:w="20" w:type="dxa"/>
            <w:vAlign w:val="bottom"/>
          </w:tcPr>
          <w:p>
            <w:pPr>
              <w:spacing w:after="0"/>
              <w:rPr>
                <w:sz w:val="16"/>
                <w:szCs w:val="16"/>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 – 3 Years</w:t>
            </w:r>
          </w:p>
        </w:tc>
        <w:tc>
          <w:tcPr>
            <w:tcW w:w="200" w:type="dxa"/>
            <w:vAlign w:val="bottom"/>
          </w:tcPr>
          <w:p>
            <w:pPr>
              <w:spacing w:after="0"/>
              <w:rPr>
                <w:sz w:val="16"/>
                <w:szCs w:val="16"/>
                <w:color w:val="auto"/>
              </w:rPr>
            </w:pP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3"/>
        </w:trPr>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$233,750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$233,750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15,886</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2,771</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1,595</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$319,875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30,150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$275,133</w:t>
            </w:r>
          </w:p>
        </w:tc>
        <w:tc>
          <w:tcPr>
            <w:tcW w:w="24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4,366</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-899795</wp:posOffset>
            </wp:positionV>
            <wp:extent cx="521208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-556895</wp:posOffset>
            </wp:positionV>
            <wp:extent cx="52120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-205105</wp:posOffset>
            </wp:positionV>
            <wp:extent cx="521208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-1250950</wp:posOffset>
            </wp:positionV>
            <wp:extent cx="521208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739"/>
          </w:cols>
          <w:pgMar w:left="320" w:top="114" w:right="1440" w:bottom="1440" w:gutter="0" w:footer="0" w:header="0"/>
          <w:type w:val="continuous"/>
        </w:sectPr>
      </w:pPr>
    </w:p>
    <w:p>
      <w:pPr>
        <w:spacing w:after="0" w:line="38" w:lineRule="exact"/>
        <w:rPr>
          <w:sz w:val="20"/>
          <w:szCs w:val="20"/>
          <w:color w:val="auto"/>
        </w:rPr>
      </w:pPr>
    </w:p>
    <w:p>
      <w:pPr>
        <w:ind w:left="1620" w:right="959" w:hanging="358"/>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represents the outstanding balance of $233,750 related to the Credit Facility with an effective interest rate of 3.47%.</w:t>
      </w:r>
    </w:p>
    <w:p>
      <w:pPr>
        <w:spacing w:after="0" w:line="13" w:lineRule="exact"/>
        <w:rPr>
          <w:rFonts w:ascii="Times New Roman" w:cs="Times New Roman" w:eastAsia="Times New Roman" w:hAnsi="Times New Roman"/>
          <w:sz w:val="18"/>
          <w:szCs w:val="18"/>
          <w:color w:val="auto"/>
        </w:rPr>
      </w:pPr>
    </w:p>
    <w:p>
      <w:pPr>
        <w:ind w:left="1620" w:right="739" w:hanging="358"/>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include non-cancellable operating lease commitments for our domestic and international facilities, cars, and equipment.</w:t>
      </w:r>
    </w:p>
    <w:p>
      <w:pPr>
        <w:spacing w:after="0" w:line="13" w:lineRule="exact"/>
        <w:rPr>
          <w:rFonts w:ascii="Times New Roman" w:cs="Times New Roman" w:eastAsia="Times New Roman" w:hAnsi="Times New Roman"/>
          <w:sz w:val="18"/>
          <w:szCs w:val="18"/>
          <w:color w:val="auto"/>
        </w:rPr>
      </w:pPr>
    </w:p>
    <w:p>
      <w:pPr>
        <w:ind w:left="1620" w:right="1099" w:hanging="358"/>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obligations relate to the deferred portion of bonus compensation of certain former colleagues.</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from acquisitions.</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Non-contingent consideration from acquisitions.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consolidated financial statements included elsewhere in this prospectus. We believe that the following critical accounting policies affect the more significant judgments and estimates used in the preparation of our consolidated financial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1260" w:right="839" w:firstLine="360"/>
        <w:spacing w:after="0" w:line="275" w:lineRule="auto"/>
        <w:rPr>
          <w:sz w:val="20"/>
          <w:szCs w:val="20"/>
          <w:color w:val="auto"/>
        </w:rPr>
      </w:pPr>
      <w:r>
        <w:rPr>
          <w:rFonts w:ascii="Times New Roman" w:cs="Times New Roman" w:eastAsia="Times New Roman" w:hAnsi="Times New Roman"/>
          <w:sz w:val="18"/>
          <w:szCs w:val="18"/>
          <w:color w:val="auto"/>
        </w:rPr>
        <w:t>On January 1, 2019, we adopted Topic 606, using the modified retrospective method, under which the cumulative effect of initially applying Topic 606 of $125,464 ($101,489 net of tax) was recorded as a reduction</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39"/>
        <w:spacing w:after="0" w:line="239" w:lineRule="auto"/>
        <w:rPr>
          <w:sz w:val="20"/>
          <w:szCs w:val="20"/>
          <w:color w:val="auto"/>
        </w:rPr>
      </w:pPr>
      <w:r>
        <w:rPr>
          <w:rFonts w:ascii="Times New Roman" w:cs="Times New Roman" w:eastAsia="Times New Roman" w:hAnsi="Times New Roman"/>
          <w:sz w:val="18"/>
          <w:szCs w:val="18"/>
          <w:color w:val="auto"/>
        </w:rPr>
        <w:t xml:space="preserve">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of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The comparative information has not been adjusted and continues to be reported under Topic 605. Refer to Note 2, Recent Accounting Pronouncements, in our consolidated financial statements for a qualitative and quantitative discussion of the adoption impact.</w:t>
      </w:r>
    </w:p>
    <w:p>
      <w:pPr>
        <w:spacing w:after="0" w:line="10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5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prepaid annual recurring subscriptions that accounts can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 to a 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29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which provide our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with complete and unlimited global access to our comprehensive portfolio of solutions. ELS provides access for a prepaid annual fee. ELS contains a term license component, SELECT maintenance and support, and performance consulting days. The SELECT maintenance and support benefits under ELS do not include a portfolio balancing feature. Revenue is allocated to the various performance obligations based on their respective standalone selling prices.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2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E365 subscriptions, which were introduced during the fourth quarter of 2018, provide unrestricted access to our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 606 and 605. Usage is defined as distinct user access on a daily basis. The term of E365 subscriptions aligns with calendar quarters and revenue is recognized based on actual usage.</w:t>
      </w:r>
    </w:p>
    <w:p>
      <w:pPr>
        <w:spacing w:after="0" w:line="11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color w:val="auto"/>
        </w:rPr>
        <w:t>: We provide annual, quarterly, and monthly term licenses for our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Term license subscriptions contain a term license component and SELECT maintenance and support. Revenue is allocated to the various performance obligations based on their standalone selling price (“SSP”). ATL are generally prepaid annually for named user access to specific products. QTL subscriptions allow accounts to pay quarterly in arrears for license usage that is beyond their prepaid subscriptions. MTL subscriptions are identical to QTL subscriptions, except for the term of the license, and the manner in which they are monetized. MTL subscriptions require a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w:t>
      </w: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42" w:lineRule="auto"/>
        <w:rPr>
          <w:sz w:val="20"/>
          <w:szCs w:val="20"/>
          <w:color w:val="auto"/>
        </w:rPr>
      </w:pPr>
      <w:r>
        <w:rPr>
          <w:rFonts w:ascii="Times New Roman" w:cs="Times New Roman" w:eastAsia="Times New Roman" w:hAnsi="Times New Roman"/>
          <w:sz w:val="18"/>
          <w:szCs w:val="18"/>
          <w:color w:val="auto"/>
        </w:rPr>
        <w:t>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104"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our ProjectWise and AssetWise systems. Our standard offerings are usage based with monetization through our CSS program.</w:t>
      </w:r>
    </w:p>
    <w:p>
      <w:pPr>
        <w:spacing w:after="0" w:line="10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3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w:t>
      </w:r>
    </w:p>
    <w:p>
      <w:pPr>
        <w:spacing w:after="0" w:line="1" w:lineRule="exact"/>
        <w:rPr>
          <w:sz w:val="20"/>
          <w:szCs w:val="20"/>
          <w:color w:val="auto"/>
        </w:rPr>
      </w:pPr>
    </w:p>
    <w:p>
      <w:pPr>
        <w:ind w:left="1260" w:right="919" w:firstLine="2"/>
        <w:spacing w:after="0" w:line="243" w:lineRule="auto"/>
        <w:tabs>
          <w:tab w:leader="none" w:pos="16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Topic 605, the Company recognized perpetual licenses revenue ratably over a three-year term due to the portfolio balancing feature users obtain through their SELECT subscriptions.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4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the services in the form of subscription-like, packaged offerings which are annually recurring in nature, and</w:t>
      </w:r>
    </w:p>
    <w:p>
      <w:pPr>
        <w:spacing w:after="0" w:line="2" w:lineRule="exact"/>
        <w:rPr>
          <w:sz w:val="20"/>
          <w:szCs w:val="20"/>
          <w:color w:val="auto"/>
        </w:rPr>
      </w:pPr>
    </w:p>
    <w:p>
      <w:pPr>
        <w:ind w:left="1260" w:right="719" w:firstLine="2"/>
        <w:spacing w:after="0"/>
        <w:tabs>
          <w:tab w:leader="none" w:pos="15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our growing portfolio of Success Plans. Success Plans are standard offerings which offer a level of subscription service above the standard technical support offered to all accounts as part of their SELECT or Enterprise agreement. Revenues are recognized as services are performed under both Topic 606 and 605.</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contracts with customers may include promises to transfer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(perpetual or term-based),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299"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color w:val="auto"/>
        </w:rPr>
        <w:t xml:space="preserve">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As of December 31, 2019, we had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 As of June 30, 2020, we have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32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allocate the fair value of the consideration transferred to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including trademarks, customer relationships, in-process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1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72" w:lineRule="exact"/>
        <w:rPr>
          <w:sz w:val="20"/>
          <w:szCs w:val="20"/>
          <w:color w:val="auto"/>
        </w:rPr>
      </w:pPr>
    </w:p>
    <w:p>
      <w:pPr>
        <w:ind w:left="1800" w:right="1659" w:hanging="178"/>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maintenance agreements, and acquired developed technologies;</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trade name and customer relationships as well as assumptions about the period of time the acquired trade name and customer relationships will continue to be used in our product portfolio;</w:t>
      </w:r>
    </w:p>
    <w:p>
      <w:pPr>
        <w:spacing w:after="0" w:line="6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the in-process research and development into commercially viable software and estimated cash flows from the projects when completed;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158"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18" w:lineRule="exact"/>
        <w:rPr>
          <w:sz w:val="20"/>
          <w:szCs w:val="20"/>
          <w:color w:val="auto"/>
        </w:rPr>
      </w:pPr>
    </w:p>
    <w:p>
      <w:pPr>
        <w:ind w:left="1260" w:right="75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Intangible assets arise from acquisitions and principally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trademarks, customer relationships, and acquired software and technology. Intangibles, other than goodwill, are amortized on a straight-line basis over their estimated useful lives, which range from three to ten years (see Note 6 to our consolidated financial statements included elsewhere in this prospectus).</w:t>
      </w:r>
    </w:p>
    <w:p>
      <w:pPr>
        <w:spacing w:after="0" w:line="3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Instead, it is tested annually for impairment, or more frequently if events occur or circumstances change that would more likely than not reduce its fair value below its carrying amount. We operate as a single reporting unit.</w:t>
      </w:r>
    </w:p>
    <w:p>
      <w:pPr>
        <w:spacing w:after="0" w:line="112"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us to determine the reporting unit’s fair value and compare it to the carrying value, including goodwill, of such reporting unit. As part of the assessment, an entity may first qualitatively assess whether it is more likely than not (a likelihood of more than 50 percent) that a goodwill impairment exists. In evaluating whether it is more likely than not that a goodwill impairment exists, we consider the factors identified in ASC 350, </w:t>
      </w:r>
      <w:r>
        <w:rPr>
          <w:rFonts w:ascii="Times New Roman" w:cs="Times New Roman" w:eastAsia="Times New Roman" w:hAnsi="Times New Roman"/>
          <w:sz w:val="18"/>
          <w:szCs w:val="18"/>
          <w:i w:val="1"/>
          <w:iCs w:val="1"/>
          <w:color w:val="auto"/>
        </w:rPr>
        <w:t>Intangibles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We also consider whether there are significant differences between the carrying amount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of its assets and liabilities, and the existence of significant unrecognized intangible assets. Based upon our most recent annual impairment assessment completed as of October 1, 2019, it is not more likely than not that a goodwill impairment exists. There was no impairment of goodwill as a result of our annual impairment assessments conducted during the years ended December 31, 2018 or 2019.</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Property and equipment are recorded at cost less accumulated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spacing w:after="0" w:line="105"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0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a lease at inception. Operating leases are included in</w:t>
      </w:r>
      <w:r>
        <w:rPr>
          <w:rFonts w:ascii="Times New Roman" w:cs="Times New Roman" w:eastAsia="Times New Roman" w:hAnsi="Times New Roman"/>
          <w:sz w:val="18"/>
          <w:szCs w:val="18"/>
          <w:i w:val="1"/>
          <w:iCs w:val="1"/>
          <w:color w:val="auto"/>
        </w:rPr>
        <w:t xml:space="preserve"> Operating lease right-of- use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Operating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Long-term operating lease liabilities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consolidated balance sheets. Operating lease right-of-use assets represent our right to use an underlying asset for the lease term and operating lease liabilities represent our obligation to make lease payments arising from the lease. Operating lease right-of-use assets and operating lease liabilities are recognized at the commencement date based on the present value of lease payments over the lease term. We use our incremental borrowing rate, if our leases do not provide an implicit rate, based on the information available at the commencement date in determining the present value of lease payments. The incremental borrowing rate is determined based on our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straight-line basis over the lease term. Our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net, Accruals and other current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w:t>
      </w:r>
    </w:p>
    <w:p>
      <w:pPr>
        <w:spacing w:after="0" w:line="28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establish an allowance for doubtful accounts for estimated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during the accounts receivable collection process. The allowance for doubtful accounts is presented separately in the consolidated balance sheet and reduces the accounts receivable balance to the net realizable value of the outstanding accounts and installment receivables. The development of the allowance for doubtful accounts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104"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We consider current economic trends when evaluating the adequacy of the allowance for doubtful accounts. If circumstances relating to specific customers change or unanticipated changes occur in the general business environment, our estimate of the recoverability of receivables could be further adjusted.</w:t>
      </w:r>
    </w:p>
    <w:p>
      <w:pPr>
        <w:spacing w:after="0" w:line="107" w:lineRule="exact"/>
        <w:rPr>
          <w:sz w:val="20"/>
          <w:szCs w:val="20"/>
          <w:color w:val="auto"/>
        </w:rPr>
      </w:pPr>
    </w:p>
    <w:p>
      <w:pPr>
        <w:ind w:left="1260" w:right="7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r>
        <w:rPr>
          <w:rFonts w:ascii="Times New Roman" w:cs="Times New Roman" w:eastAsia="Times New Roman" w:hAnsi="Times New Roman"/>
          <w:sz w:val="18"/>
          <w:szCs w:val="18"/>
          <w:color w:val="auto"/>
        </w:rPr>
        <w:t>. On March 31, 2020, we entered into an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swap with a notional amount of $200,000 and a ten-year term to reduce the interest rate risk associated with our Credit Facility.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and payments related to the swap are recognized in</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The bank counterparty to the derivative potentially exposes us to credit-related losses in the event of nonperformance. To mitigate that risk, we only contract with counterparties who meet our minimum requirements under our counterparty risk assessment process. We monitor counterparty risk on at least a quarterly basis and adjusts our exposure as necessary. We do not enter into derivative instrument transactions for trading or speculative purposes.</w:t>
      </w:r>
    </w:p>
    <w:p>
      <w:pPr>
        <w:spacing w:after="0" w:line="118"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deferred tax assets and liabilities for the 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the year in which the items are expected to reverse. The effect of a change in tax rates on deferred tax assets and liabilities is recognized in income in the period of the enactment date.</w:t>
      </w:r>
    </w:p>
    <w:p>
      <w:pPr>
        <w:spacing w:after="0" w:line="81"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In the event we determine that we will not be able to realize deferred income tax assets in the future in excess of our net recorded amount, an adjustment to the valuation allowance would be recorded that would increase the provision for income taxes.</w:t>
      </w:r>
    </w:p>
    <w:p>
      <w:pPr>
        <w:spacing w:after="0" w:line="116"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On December 22, 2017, the U.S. Tax Cuts and Jobs Act was enacted. This act,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We completed our accounting for the effects of this legislation in 2018 and have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accompanying consolidated statements of operations.</w:t>
      </w:r>
    </w:p>
    <w:p>
      <w:pPr>
        <w:spacing w:after="0" w:line="116"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We perform a quarterly assessment of the recoverability of the net deferred tax assets and believe that we will generate sufficient future taxable income in appropriate tax jurisdictions to realize the net deferred tax assets. Our judgment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in numerous foreign jurisdictions. As part of the process of preparing our consolidated financial statements, we are required to calculate our income tax expense based on taxable income by jurisdiction. There are many transactions and calculations about which the ultimate tax outcome is uncertain. As a result, our calculations involve estimates by management. Some of these uncertainties arise as a consequence of revenue-sharing, cost-reimbursement and transfer pricing arrangements among related entities, and the differing tax treatment of revenue and cost items across various jurisdictions. If we were compelled to revise or to account differently for our arrangements, that revision could affect our tax liability. While we believe the positions we have taken are appropriate, we record reserves for taxes to address potential exposures involving tax positions that we believe could be challenged by taxing authorities. We record a benefit on a tax position when we determine that it is more likely than not that the position is sustainable upon examination, including resolution of any related appeals or litigation processes, based on the technical merits of the position. For tax positions that are more likely than not to be sustained, we measure the tax position at the largest amount of benefit that has a greater than 50 percent likelihood of being realized when it is effectively settled.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line in the consolidated statements of operations. Accrued interest and penalties are included within the related tax liability line in the consolidated balance sheets.</w:t>
      </w:r>
    </w:p>
    <w:p>
      <w:pPr>
        <w:spacing w:after="0" w:line="264" w:lineRule="exact"/>
        <w:rPr>
          <w:sz w:val="20"/>
          <w:szCs w:val="20"/>
          <w:color w:val="auto"/>
        </w:rPr>
      </w:pPr>
    </w:p>
    <w:p>
      <w:pPr>
        <w:ind w:left="1260" w:right="7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Stock- based compensation. </w:t>
      </w:r>
      <w:r>
        <w:rPr>
          <w:rFonts w:ascii="Times New Roman" w:cs="Times New Roman" w:eastAsia="Times New Roman" w:hAnsi="Times New Roman"/>
          <w:sz w:val="18"/>
          <w:szCs w:val="18"/>
          <w:color w:val="auto"/>
        </w:rPr>
        <w:t>We record all stock-based compensation as an expense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15 to our consolidated financial statements included elsewhere in this prospectus).</w:t>
      </w:r>
    </w:p>
    <w:p>
      <w:pPr>
        <w:spacing w:after="0" w:line="115"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determination of the fair value of stock-based payment awards using an option pricing model is affected by our stock price as well as assumptions regarding a number of subjective variables. These variables include our estimated stock price, volatility over the term of the awards, expected term, risk-free interest rates, and expected dividends. The expected stock price volatility for our common stock is estimated by taking</w:t>
      </w: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rPr>
          <w:sz w:val="20"/>
          <w:szCs w:val="20"/>
          <w:color w:val="auto"/>
        </w:rPr>
      </w:pPr>
      <w:r>
        <w:rPr>
          <w:rFonts w:ascii="Times New Roman" w:cs="Times New Roman" w:eastAsia="Times New Roman" w:hAnsi="Times New Roman"/>
          <w:sz w:val="18"/>
          <w:szCs w:val="18"/>
          <w:color w:val="auto"/>
        </w:rPr>
        <w:t>the average historic price volatility for industry peers based on daily price observations over a period equivalent to the expected term of the stock option grants. We intend to continue to consistently apply this process using the same or similar public companies until a sufficient amount of historical information regarding the volatility of our own common stock share price becomes available. The expected term is based on the simplified method, which represents the average period from vesting to the expiration of the award. The risk-free interest rate is based on the U.S. Treasury yield curve with a remaining term equal to the expected life assumed at grant date.</w:t>
      </w:r>
    </w:p>
    <w:p>
      <w:pPr>
        <w:spacing w:after="0" w:line="102"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We have historically been a privately held company with no active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of our common stock. We are required to estimate the fair value of the common stock underlying our stock-based awards. The fair value of the common stock underlying our equity-based awards was determined by our board of directors, with input from management and contemporaneous third-party valuations. We believe that our board of directors has the relevant experience and expertise to determine the fair value of our common stock.</w:t>
      </w:r>
    </w:p>
    <w:p>
      <w:pPr>
        <w:spacing w:after="0" w:line="326" w:lineRule="exact"/>
        <w:rPr>
          <w:sz w:val="20"/>
          <w:szCs w:val="20"/>
          <w:color w:val="auto"/>
        </w:rPr>
      </w:pPr>
    </w:p>
    <w:p>
      <w:pPr>
        <w:ind w:left="1260" w:right="9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Prior to the offering, and given the absence of a public trading market for our common stock, and in accordance with the American Institute of Certified Public Accountants practice guide,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w:t>
      </w:r>
      <w:r>
        <w:rPr>
          <w:rFonts w:ascii="Times New Roman" w:cs="Times New Roman" w:eastAsia="Times New Roman" w:hAnsi="Times New Roman"/>
          <w:sz w:val="18"/>
          <w:szCs w:val="18"/>
          <w:color w:val="auto"/>
        </w:rPr>
        <w:t>, our board of directors exercised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judgment and considered numerous objective and subjective factors to determine the best estimate of the fair value of our common stock, including:</w:t>
      </w:r>
    </w:p>
    <w:p>
      <w:pPr>
        <w:spacing w:after="0" w:line="77" w:lineRule="exact"/>
        <w:rPr>
          <w:sz w:val="20"/>
          <w:szCs w:val="20"/>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valuations performed by an unrelated third-party valuation specialist;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and its history;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forecast;</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estimated future cash flows;</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listing, or sale of our Company, given prevailing market condition and the nature and history of our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necessary to recognize a lack of marketability for our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58"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generally using the income approach and the market comparable approach valuation methods.</w:t>
      </w:r>
    </w:p>
    <w:p>
      <w:pPr>
        <w:spacing w:after="0" w:line="8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116"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10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 Changes in any or all of these estimates and assumptions or the relationships between those assumptions impacts our valuations as of each valuation date.</w:t>
      </w:r>
    </w:p>
    <w:p>
      <w:pPr>
        <w:spacing w:after="0" w:line="116" w:lineRule="exact"/>
        <w:rPr>
          <w:sz w:val="20"/>
          <w:szCs w:val="20"/>
          <w:color w:val="auto"/>
        </w:rPr>
      </w:pPr>
    </w:p>
    <w:p>
      <w:pPr>
        <w:ind w:left="1260" w:right="85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summarizes, by grant date, all options awards since January 1, 2018 under our stockholder-approved plan. The estimated fair value per share of common stock in the table below represents the determination by our board of directors of the fair value of our common stock as of the date of grant,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19"/>
        <w:spacing w:after="0" w:line="282" w:lineRule="auto"/>
        <w:rPr>
          <w:sz w:val="20"/>
          <w:szCs w:val="20"/>
          <w:color w:val="auto"/>
        </w:rPr>
      </w:pPr>
      <w:r>
        <w:rPr>
          <w:rFonts w:ascii="Times New Roman" w:cs="Times New Roman" w:eastAsia="Times New Roman" w:hAnsi="Times New Roman"/>
          <w:sz w:val="18"/>
          <w:szCs w:val="18"/>
          <w:color w:val="auto"/>
        </w:rPr>
        <w:t>taking into consideration the various objective and subjective factors described above, including the conclusions, if applicable, of contemporaneous valuations of our common stock.</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per Share of</w:t>
            </w:r>
          </w:p>
        </w:tc>
      </w:tr>
      <w:tr>
        <w:trPr>
          <w:trHeight w:val="190"/>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Underlying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00" w:type="dxa"/>
            <w:vAlign w:val="bottom"/>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3"/>
        </w:trPr>
        <w:tc>
          <w:tcPr>
            <w:tcW w:w="3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$ 6.805</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$ 6.805</w:t>
            </w: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2018</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5,096,000</w:t>
            </w:r>
          </w:p>
        </w:tc>
        <w:tc>
          <w:tcPr>
            <w:tcW w:w="20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6.805</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6.805</w:t>
            </w:r>
          </w:p>
        </w:tc>
      </w:tr>
      <w:tr>
        <w:trPr>
          <w:trHeight w:val="25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8.670</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8.670</w:t>
            </w: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2019</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4,816,000</w:t>
            </w:r>
          </w:p>
        </w:tc>
        <w:tc>
          <w:tcPr>
            <w:tcW w:w="20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7.240</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7.240</w:t>
            </w:r>
          </w:p>
        </w:tc>
      </w:tr>
      <w:tr>
        <w:trPr>
          <w:trHeight w:val="27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2019</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7.240</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7.240</w:t>
            </w:r>
          </w:p>
        </w:tc>
      </w:tr>
      <w:tr>
        <w:trPr>
          <w:trHeight w:val="27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2020</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10.840</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-1002665</wp:posOffset>
            </wp:positionV>
            <wp:extent cx="137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-1002665</wp:posOffset>
            </wp:positionV>
            <wp:extent cx="137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-1002665</wp:posOffset>
            </wp:positionV>
            <wp:extent cx="137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Section 7(a)(2)(B). As a result, our consolidated financial statements may not be comparable to those of companies that comply with public company effective dates.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SEC regulations.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739" w:firstLine="360"/>
        <w:spacing w:after="0" w:line="275" w:lineRule="auto"/>
        <w:rPr>
          <w:sz w:val="20"/>
          <w:szCs w:val="20"/>
          <w:color w:val="auto"/>
        </w:rPr>
      </w:pPr>
      <w:r>
        <w:rPr>
          <w:rFonts w:ascii="Times New Roman" w:cs="Times New Roman" w:eastAsia="Times New Roman" w:hAnsi="Times New Roman"/>
          <w:sz w:val="18"/>
          <w:szCs w:val="18"/>
          <w:color w:val="auto"/>
        </w:rPr>
        <w:t>For information regarding recent accounting guidance and the impact of this guidance on our consolidated financial statements, see Note 2 to our consolidated financial statements included elsewhere in this prospectus.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10"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revenue, earnings, cash flows, receivables, and payables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and Chinese Yuan Renminbi. For the year ended December 31, 2019, approximately 58% of our revenues are derived from outside of the United States and approximately 47% of our revenues are denominated in foreign currencies. In 2019, 53%, 14%, 7%, and 26% of our revenues were denominated in U.S. Dollars, Euros, British Pounds, and other currencies, respectively, and 54%, 17%, 8%, and 21% of our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2019 annual operating income by approximately $10,200.</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had cash and cash equivalents of $121,101 and $125,516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June 30, 2020,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the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swap, we fixed our LIBOR borrowing rate at 0.73% on a notional amount of $200,000 and for a period of ten years. We do not enter into investments or derivative instruments for trading or speculative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15"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risk. </w:t>
      </w:r>
      <w:r>
        <w:rPr>
          <w:rFonts w:ascii="Times New Roman" w:cs="Times New Roman" w:eastAsia="Times New Roman" w:hAnsi="Times New Roman"/>
          <w:sz w:val="18"/>
          <w:szCs w:val="18"/>
          <w:color w:val="auto"/>
        </w:rPr>
        <w:t>We do not believe that inflation has had a material effect on our business,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FOUNDERS’ PERSPECTIVES: LETTER FROM GREG, BARRY, KEITH, AND RAY BENTLEY</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Thank you for your interest in purchasing shares of Bentley Systems, which would make us fellow investors in advancing infrastructure through going digital. As the majority owners and majority of Board members, we realize that this is our opportunity to help you understand our corporate philosophy, so that you can consider whether it aligns with your investment preferences. In a nutshell, we hope that our approach tolerably coincides with how you would make decisions in managing your own family’s company, but we want to best inform your investment choice by being direct and factual about our history and plans for the future.</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Bentley Systems: 1984 – 2020</w:t>
      </w:r>
    </w:p>
    <w:p>
      <w:pPr>
        <w:spacing w:after="0" w:line="162"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Barry, Keith, and Ray are respectively chemical, electrical, and mechanical engineers who have spent their entire careers in software. Even Greg, prior to joining the rest of us, was a successful developer of software for what he characterizes as “financial engineering.” Having engineer types in charge seems to have worked for us, perhaps because of the correspondence to our end market of infrastructure engineering.</w:t>
      </w:r>
    </w:p>
    <w:p>
      <w:pPr>
        <w:spacing w:after="0" w:line="113"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The four of us are not selling shares in this offering, nor do we contemplate any “exit” other than (as we are all aged in our early 60s) in due course following the example of Barry, who retired at the beginning of this year but remains active on our Board. We plan to continue our modest regular dividend, which will serve to encourage this orderly progression.</w:t>
      </w:r>
    </w:p>
    <w:p>
      <w:pPr>
        <w:spacing w:after="0" w:line="100"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From entrepreneurial experience, we are strong believers in the motivating “secret sauce” of equity ownership. We realize that our own success in software correlates directly with our colleagues’ quality, motivation, and retention. Genuinely shared commitment is contagious and powerful, leading ultimately to this public company destiny.</w:t>
      </w:r>
    </w:p>
    <w:p>
      <w:pPr>
        <w:spacing w:after="0" w:line="113"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Over 1,200 of our colleagues (and by now, some are retirees) have earned over one-third of our company’s ownership through our pervasive stock incentive programs. Facilitated by the NASDAQ Private Market since 2016, some have sold shares to our strategic alliance partner Siemens at pre-arranged share prices. This public listing fulfills our intention for our colleagues to be rewarded, for having devoted their prime working lives, with the deserved satisfaction of their equity being valued by the independent market, rather than by formula. To complete our goal of colleague ownership, we have preceded this IPO with grants of nearly one million shares distributed across every one of our approximately 4,000 colleagues.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BSY: 2020 – …</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Because the “no drama” continuity assured by family stewardship has proven to be a significant competitive advantage from the standpoint of our accounts and our colleagues, BSY will be structured to remain protected from hostile acquirors and/or activist investors with short-term agendas. Rather than compromising our focus, when public we intend to steadfastly adhere to the consistent long-term decision horizon which has guided us as a private company. We will prioritize proactive investments when we believe substantial opportunities will sufficiently benefit our future, even if that might jeopardize short-term expectations. So while we will continue to hold ourselves accountable to become more efficient as we consistently grow, and while our cumulative subscription preponderance and operating discipline enable relatively strong near-term visibility, we will not concentrate on quarterly performance metrics.</w:t>
      </w:r>
    </w:p>
    <w:p>
      <w:pPr>
        <w:spacing w:after="0" w:line="110"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Compounding short-term measurement issues, the noise from new revenue accounting rules creates, in our reported results, misleading volatility that doesn’t exist in economic reality. Therefore, to avoid the risks of misinterpretation by analysts and markets, we intend to refrain from providing quarterly financial guidance. However, we will undertake to update our annual financial guidance when that is merited, in transparent accordance with the metrics that we find most useful internally.</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corporate governance, you can be assured of our alignment with shareholders at large, whom will always be well represented by independent directors of the highest quality. While continuing our established high standards of corporate citizenship, we believe all shareholders are best served by BSY’s undiluted attention to serving our users, our accounts, and our colleagues. It is generally not our business to advocate for causes beyond the self -evident virtues we depend upon: free markets, free trade and globalization, and (private as well as public) infrastructure investment.</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By virtue of long experience we can conclude that for a software company, it is an advantage for key decisions to be made by those whom are literally “in software.” Our unique and trusted technical continuity across successive software generations has established a key competitive differentiator in BSY’s favor, for long-lived infrastructure projects and endless-lived infrastructure assets.</w:t>
      </w:r>
    </w:p>
    <w:p>
      <w:pPr>
        <w:spacing w:after="0" w:line="9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Accordingly, we take most seriously our responsibility for similarly qualified succession in BSY’s executive leadership. We have suitable plans and prospects in mind, including having recently recruited successfully from top levels at leading public software companies. Our successors will have the continuity benefit of many years of anticipated overlap with our Board tenures, but we also have ambitions to improve upon our own leadership, and certainly in dimensions beyond engineering.</w:t>
      </w:r>
    </w:p>
    <w:p>
      <w:pPr>
        <w:spacing w:after="0" w:line="11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Indeed, spending almost all of our careers working with brothers (who are certainly not easily impressed with each other) has hopefully inclined us toward humility rather than hubris. While we are proud of our many next-generation Bentleys in various roles at the company, we have programmed against dynastic succession. In BSY’s dual-class share voting formulation, our voting multiple ratchets down when the director Bentleys leave the Board, and reverts to parity if and when we and our collective heirs might own less than 20% of BSY’s common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BSY: The Infrastructure Engineering Software Company</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We feel strongly that BSY’s work since its founding has represented the highest and best use of our collective endeavors. And we have succeeded to date because of the contributions and commitment of our diverse colleagues globally. We have all been brought together and motivated by what we’ve enabled infrastructure engineers to accomplish everywhere.</w:t>
      </w:r>
    </w:p>
    <w:p>
      <w:pPr>
        <w:spacing w:after="0" w:line="9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Our world’s economy and environment rely on physical infrastructure, advanced by infrastructure engineering, which is empowered by infrastructure engineering software. Many global imperatives hinge on infrastructure engineers going digital — including climate mitigation and adaptation, industrialization of project delivery for better infrastructure economics, increased private investment attracted by greater project and asset visibility, and economic development being propagated globally. The pandemic challenges of 2020 underscore the prospective importance of digital twins in sustaining infrastructure’s resilience and fitness for purpose.</w:t>
      </w:r>
    </w:p>
    <w:p>
      <w:pPr>
        <w:spacing w:after="0" w:line="336"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There could not be more direct and palpable benefits from software careers than the work of our users, of which we are so proud. In your consideration of a BSY investment, we hope you take some time to review the impressive case studies, nominated for awards for going digital, that have been compiled in our annual Infrastructure Yearbooks. Whatever you decide about investing with our family, we think you will gain a greater appreciation for infrastructure, infrastructure engineers, and our colleagues responsible for their software — to whom BSY’s public offering is literally dedicated.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Greg Bentley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Barry Bentley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Keith Bentley</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Ray Bentley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505460</wp:posOffset>
            </wp:positionV>
            <wp:extent cx="5092065" cy="66351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8649335</wp:posOffset>
            </wp:positionV>
            <wp:extent cx="68065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351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092065" cy="6635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48"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 — sustaining both the global economy and environment, for improved quality of life.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321" w:lineRule="exact"/>
        <w:rPr>
          <w:sz w:val="20"/>
          <w:szCs w:val="20"/>
          <w:color w:val="auto"/>
        </w:rPr>
      </w:pPr>
    </w:p>
    <w:p>
      <w:pPr>
        <w:ind w:left="1800" w:right="759" w:hanging="178"/>
        <w:spacing w:after="0" w:line="25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87" w:lineRule="exact"/>
        <w:rPr>
          <w:rFonts w:ascii="Times New Roman" w:cs="Times New Roman" w:eastAsia="Times New Roman" w:hAnsi="Times New Roman"/>
          <w:sz w:val="18"/>
          <w:szCs w:val="18"/>
          <w:color w:val="auto"/>
        </w:rPr>
      </w:pPr>
    </w:p>
    <w:p>
      <w:pPr>
        <w:ind w:left="1800" w:right="1059" w:hanging="178"/>
        <w:spacing w:after="0" w:line="26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w:t>
      </w:r>
      <w:r>
        <w:rPr>
          <w:rFonts w:ascii="Times New Roman" w:cs="Times New Roman" w:eastAsia="Times New Roman" w:hAnsi="Times New Roman"/>
          <w:sz w:val="18"/>
          <w:szCs w:val="18"/>
          <w:i w:val="1"/>
          <w:iCs w:val="1"/>
          <w:color w:val="auto"/>
        </w:rPr>
        <w:t>/ 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92" w:lineRule="exact"/>
        <w:rPr>
          <w:rFonts w:ascii="Times New Roman" w:cs="Times New Roman" w:eastAsia="Times New Roman" w:hAnsi="Times New Roman"/>
          <w:sz w:val="18"/>
          <w:szCs w:val="18"/>
          <w:color w:val="auto"/>
        </w:rPr>
      </w:pPr>
    </w:p>
    <w:p>
      <w:pPr>
        <w:jc w:val="both"/>
        <w:ind w:left="1800" w:right="1039" w:hanging="178"/>
        <w:spacing w:after="0" w:line="28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79"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Shown below (in the outer ring of the pie chart) are the proportions of our overall 2019 revenues attributable to these infrastructure sectors (and the indicated subsectors), either related to our products whose purpose is specific to a sector/subsector, or otherwise to use of our other products by accounts which we assign within the sector/subsector. The inner portion of the piechart shows the proportions of our overall 2019 revenues which are not accordingly attributable to any particular sector/subsector, being related to products used across multiple sectors/subsectors by accounts not assignable to a particular sector/subsector. These non-sector/subsector-specific revenues are categorized as either for products within specific infrastructure disciplines (structural or geotechnical), or otherwise within the product groupings of general modeling (including, for example, surveying) or general project delivery (including, for example, for general construction and general asset performance by general project delivery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556895</wp:posOffset>
            </wp:positionV>
            <wp:extent cx="4654550" cy="28975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545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20" w:hanging="358"/>
        <w:spacing w:after="0"/>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ASC 606 basis.</w:t>
      </w:r>
    </w:p>
    <w:p>
      <w:pPr>
        <w:spacing w:after="0" w:line="158"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117"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106"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 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pacing w:after="0" w:line="11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3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50" w:lineRule="auto"/>
        <w:rPr>
          <w:sz w:val="20"/>
          <w:szCs w:val="20"/>
          <w:color w:val="auto"/>
        </w:rPr>
      </w:pPr>
      <w:r>
        <w:rPr>
          <w:rFonts w:ascii="Times New Roman" w:cs="Times New Roman" w:eastAsia="Times New Roman" w:hAnsi="Times New Roman"/>
          <w:sz w:val="18"/>
          <w:szCs w:val="18"/>
          <w:color w:val="auto"/>
        </w:rPr>
        <w:t>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96"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w:t>
      </w:r>
    </w:p>
    <w:p>
      <w:pPr>
        <w:spacing w:after="0" w:line="1" w:lineRule="exact"/>
        <w:rPr>
          <w:sz w:val="20"/>
          <w:szCs w:val="20"/>
          <w:color w:val="auto"/>
        </w:rPr>
      </w:pPr>
    </w:p>
    <w:p>
      <w:pPr>
        <w:ind w:left="1260" w:right="799"/>
        <w:spacing w:after="0" w:line="238" w:lineRule="auto"/>
        <w:rPr>
          <w:sz w:val="20"/>
          <w:szCs w:val="20"/>
          <w:color w:val="auto"/>
        </w:rPr>
      </w:pPr>
      <w:r>
        <w:rPr>
          <w:rFonts w:ascii="Times New Roman" w:cs="Times New Roman" w:eastAsia="Times New Roman" w:hAnsi="Times New Roman"/>
          <w:sz w:val="18"/>
          <w:szCs w:val="18"/>
          <w:color w:val="auto"/>
        </w:rPr>
        <w:t>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11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are the only infrastructure engineering software vendor to lead in market share in categories related to both the project and the asset lifecycle phases in the most recent rankings by The ARC Advisory Group (“ARC”). In 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w:t>
      </w:r>
    </w:p>
    <w:p>
      <w:pPr>
        <w:spacing w:after="0" w:line="3" w:lineRule="exact"/>
        <w:rPr>
          <w:sz w:val="20"/>
          <w:szCs w:val="20"/>
          <w:color w:val="auto"/>
        </w:rPr>
      </w:pPr>
    </w:p>
    <w:p>
      <w:pPr>
        <w:ind w:left="1260" w:right="979" w:firstLine="2"/>
        <w:spacing w:after="0" w:line="243" w:lineRule="auto"/>
        <w:tabs>
          <w:tab w:leader="none" w:pos="1452"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ARC ranked us #1 overall for software, as well as #1 in each of Transportation,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Electric Power Transmission and Distribution.</w:t>
      </w:r>
    </w:p>
    <w:p>
      <w:pPr>
        <w:spacing w:after="0" w:line="114"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103"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Firms</w:t>
      </w:r>
      <w:r>
        <w:rPr>
          <w:rFonts w:ascii="Times New Roman" w:cs="Times New Roman" w:eastAsia="Times New Roman" w:hAnsi="Times New Roman"/>
          <w:sz w:val="18"/>
          <w:szCs w:val="18"/>
          <w:color w:val="auto"/>
        </w:rPr>
        <w:t>, which firms are ranked by revenue for design services performed in 2018, and 64% of the 2019</w:t>
      </w:r>
      <w:r>
        <w:rPr>
          <w:rFonts w:ascii="Times New Roman" w:cs="Times New Roman" w:eastAsia="Times New Roman" w:hAnsi="Times New Roman"/>
          <w:sz w:val="18"/>
          <w:szCs w:val="18"/>
          <w:i w:val="1"/>
          <w:iCs w:val="1"/>
          <w:color w:val="auto"/>
        </w:rPr>
        <w:t xml:space="preserve"> Bentley Infrastructure 500 Top Owners</w:t>
      </w:r>
      <w:r>
        <w:rPr>
          <w:rFonts w:ascii="Times New Roman" w:cs="Times New Roman" w:eastAsia="Times New Roman" w:hAnsi="Times New Roman"/>
          <w:sz w:val="18"/>
          <w:szCs w:val="18"/>
          <w:color w:val="auto"/>
        </w:rPr>
        <w:t>, which firms are ranked by net depreciated value of their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fixed assets.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is authored by ENR and the </w:t>
      </w:r>
      <w:r>
        <w:rPr>
          <w:rFonts w:ascii="Times New Roman" w:cs="Times New Roman" w:eastAsia="Times New Roman" w:hAnsi="Times New Roman"/>
          <w:sz w:val="18"/>
          <w:szCs w:val="18"/>
          <w:i w:val="1"/>
          <w:iCs w:val="1"/>
          <w:color w:val="auto"/>
        </w:rPr>
        <w:t>Bentley Infrastructure 500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 Owners </w:t>
      </w:r>
      <w:r>
        <w:rPr>
          <w:rFonts w:ascii="Times New Roman" w:cs="Times New Roman" w:eastAsia="Times New Roman" w:hAnsi="Times New Roman"/>
          <w:sz w:val="18"/>
          <w:szCs w:val="18"/>
          <w:color w:val="auto"/>
        </w:rPr>
        <w:t>is authored by us. These rankings consist of substantially distinct account lists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 with 80% of our 2018 and 2019 total revenues coming from accounts of more than ten years’ standing, and 87% of our 2018 and 2019 total revenues coming from accounts of more than five years’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103505</wp:posOffset>
            </wp:positionV>
            <wp:extent cx="2768600" cy="23742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6860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539750</wp:posOffset>
            </wp:positionV>
            <wp:extent cx="12344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1159" w:hanging="358"/>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6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11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117"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w:t>
      </w:r>
    </w:p>
    <w:p>
      <w:pPr>
        <w:spacing w:after="0" w:line="1"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color w:val="auto"/>
        </w:rPr>
        <w:t>$69 million and Adjusted EBITDA of $116 million. Our business is cash-efficient, with approximately 70% of our revenues billed in advance, and a global tax rate of under 20%. For additional information on our financial result, key metrics, and non-GAAP financial metrics, see the section titled “Management’s Discussion and Analysis of Financial Condition and Results of Operations — Key Business Metrics.”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35"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 Our cloud -native Digital Twins solutions introduce digital workflows, which can span our Project Lifecycle and Asset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9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simulation, and construction, as well as the collaboration software services required to coordinate and share the work of interdisciplinary and/or distributed project teams.</w:t>
      </w:r>
    </w:p>
    <w:p>
      <w:pPr>
        <w:spacing w:after="0" w:line="93"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modeling applications are domain- 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800" w:right="859" w:hanging="178"/>
        <w:spacing w:after="0" w:line="258"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 by virtue of:</w:t>
      </w:r>
    </w:p>
    <w:p>
      <w:pPr>
        <w:spacing w:after="0" w:line="61" w:lineRule="exact"/>
        <w:rPr>
          <w:rFonts w:ascii="Times New Roman" w:cs="Times New Roman" w:eastAsia="Times New Roman" w:hAnsi="Times New Roman"/>
          <w:sz w:val="18"/>
          <w:szCs w:val="18"/>
          <w:color w:val="auto"/>
        </w:rPr>
      </w:pPr>
    </w:p>
    <w:p>
      <w:pPr>
        <w:ind w:left="2160" w:right="739" w:hanging="178"/>
        <w:spacing w:after="0" w:line="267" w:lineRule="auto"/>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engineering productivity. </w:t>
      </w:r>
      <w:r>
        <w:rPr>
          <w:rFonts w:ascii="Times New Roman" w:cs="Times New Roman" w:eastAsia="Times New Roman" w:hAnsi="Times New Roman"/>
          <w:sz w:val="18"/>
          <w:szCs w:val="18"/>
          <w:color w:val="auto"/>
        </w:rPr>
        <w:t>We endeavor to provide in our applications the most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automated intelligence for transforming engineers’ conceptual decisions into complete, detailed, and editable deliverables; and</w:t>
      </w:r>
    </w:p>
    <w:p>
      <w:pPr>
        <w:spacing w:after="0" w:line="65" w:lineRule="exact"/>
        <w:rPr>
          <w:rFonts w:ascii="Times New Roman" w:cs="Times New Roman" w:eastAsia="Times New Roman" w:hAnsi="Times New Roman"/>
          <w:sz w:val="18"/>
          <w:szCs w:val="18"/>
          <w:color w:val="auto"/>
        </w:rPr>
      </w:pPr>
    </w:p>
    <w:p>
      <w:pPr>
        <w:ind w:left="2160" w:right="759" w:hanging="178"/>
        <w:spacing w:after="0" w:line="258" w:lineRule="auto"/>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configurability and continuity: </w:t>
      </w:r>
      <w:r>
        <w:rPr>
          <w:rFonts w:ascii="Times New Roman" w:cs="Times New Roman" w:eastAsia="Times New Roman" w:hAnsi="Times New Roman"/>
          <w:sz w:val="18"/>
          <w:szCs w:val="18"/>
          <w:color w:val="auto"/>
        </w:rPr>
        <w:t>We take care to enable users to continuously refine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preferences and standards across 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75" w:lineRule="exact"/>
        <w:rPr>
          <w:rFonts w:ascii="Times New Roman" w:cs="Times New Roman" w:eastAsia="Times New Roman" w:hAnsi="Times New Roman"/>
          <w:sz w:val="18"/>
          <w:szCs w:val="18"/>
          <w:color w:val="auto"/>
        </w:rPr>
      </w:pPr>
    </w:p>
    <w:p>
      <w:pPr>
        <w:ind w:left="1800" w:right="759" w:hanging="178"/>
        <w:spacing w:after="0" w:line="284"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36"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projects to enrich information sharing (and to minimize problematic translations) across project delivery processes. For instance:</w:t>
      </w:r>
    </w:p>
    <w:p>
      <w:pPr>
        <w:spacing w:after="0" w:line="67" w:lineRule="exact"/>
        <w:rPr>
          <w:rFonts w:ascii="Times New Roman" w:cs="Times New Roman" w:eastAsia="Times New Roman" w:hAnsi="Times New Roman"/>
          <w:sz w:val="18"/>
          <w:szCs w:val="18"/>
          <w:color w:val="auto"/>
        </w:rPr>
      </w:pPr>
    </w:p>
    <w:p>
      <w:pPr>
        <w:ind w:left="2160" w:hanging="178"/>
        <w:spacing w:after="0"/>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starting with reality modeling of existing conditions (often from drone surveying);</w:t>
      </w:r>
    </w:p>
    <w:p>
      <w:pPr>
        <w:spacing w:after="0" w:line="117" w:lineRule="exact"/>
        <w:rPr>
          <w:rFonts w:ascii="Times New Roman" w:cs="Times New Roman" w:eastAsia="Times New Roman" w:hAnsi="Times New Roman"/>
          <w:sz w:val="18"/>
          <w:szCs w:val="18"/>
          <w:color w:val="auto"/>
        </w:rPr>
      </w:pPr>
    </w:p>
    <w:p>
      <w:pPr>
        <w:ind w:left="2160" w:hanging="178"/>
        <w:spacing w:after="0"/>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sharing engineering component definitions across disciplines and projects; and</w:t>
      </w:r>
    </w:p>
    <w:p>
      <w:pPr>
        <w:spacing w:after="0" w:line="117" w:lineRule="exact"/>
        <w:rPr>
          <w:rFonts w:ascii="Times New Roman" w:cs="Times New Roman" w:eastAsia="Times New Roman" w:hAnsi="Times New Roman"/>
          <w:sz w:val="18"/>
          <w:szCs w:val="18"/>
          <w:color w:val="auto"/>
        </w:rPr>
      </w:pPr>
    </w:p>
    <w:p>
      <w:pPr>
        <w:ind w:left="2160" w:right="959" w:hanging="178"/>
        <w:spacing w:after="0" w:line="266" w:lineRule="auto"/>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“constructioneering” digital workflows, which automate the exchange of 3D design models to control GPS-enabled construction equipment (for earthmoving and paving), and to validate and preserve the resulting 3D as-built models for maintenance.</w:t>
      </w:r>
    </w:p>
    <w:p>
      <w:pPr>
        <w:spacing w:after="0" w:line="93" w:lineRule="exact"/>
        <w:rPr>
          <w:sz w:val="20"/>
          <w:szCs w:val="20"/>
          <w:color w:val="auto"/>
        </w:rPr>
      </w:pPr>
    </w:p>
    <w:p>
      <w:pPr>
        <w:ind w:left="1260" w:right="8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Project Delivery. </w:t>
      </w:r>
      <w:r>
        <w:rPr>
          <w:rFonts w:ascii="Times New Roman" w:cs="Times New Roman" w:eastAsia="Times New Roman" w:hAnsi="Times New Roman"/>
          <w:sz w:val="18"/>
          <w:szCs w:val="18"/>
          <w:color w:val="auto"/>
        </w:rPr>
        <w:t>Our Project Delivery solutions support information and document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specific collaboration and work-sharing for distributed project teams and enterprises, and construction planning, modeling and execution. The scope of these solutions is not limited to users of only our own design applications.</w:t>
      </w:r>
    </w:p>
    <w:p>
      <w:pPr>
        <w:spacing w:after="0" w:line="11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This functionality enables infrastructure project organizations to “virtualize” their talent so that the required work can be shared by all participants everywhere through our software, reducing the need for physical co-location of the project resources.</w:t>
      </w:r>
    </w:p>
    <w:p>
      <w:pPr>
        <w:spacing w:after="0" w:line="117"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29" w:lineRule="exact"/>
        <w:rPr>
          <w:sz w:val="20"/>
          <w:szCs w:val="20"/>
          <w:color w:val="auto"/>
        </w:rPr>
      </w:pPr>
    </w:p>
    <w:p>
      <w:pPr>
        <w:ind w:left="1800" w:right="779" w:hanging="178"/>
        <w:spacing w:after="0" w:line="267"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work-sharing: </w:t>
      </w:r>
      <w:r>
        <w:rPr>
          <w:rFonts w:ascii="Times New Roman" w:cs="Times New Roman" w:eastAsia="Times New Roman" w:hAnsi="Times New Roman"/>
          <w:sz w:val="18"/>
          <w:szCs w:val="18"/>
          <w:color w:val="auto"/>
        </w:rPr>
        <w:t>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78"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collaboration: </w:t>
      </w:r>
      <w:r>
        <w:rPr>
          <w:rFonts w:ascii="Times New Roman" w:cs="Times New Roman" w:eastAsia="Times New Roman" w:hAnsi="Times New Roman"/>
          <w:sz w:val="18"/>
          <w:szCs w:val="18"/>
          <w:color w:val="auto"/>
        </w:rPr>
        <w:t>Our software leverages cloud and hybrid environments to streamline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aggregation, distribution, and interaction for project deliverables, ensuring that the right project participants have the right information in the right format at the right time, including at the project site and on every device; and</w:t>
      </w:r>
    </w:p>
    <w:p>
      <w:pPr>
        <w:spacing w:after="0" w:line="85" w:lineRule="exact"/>
        <w:rPr>
          <w:rFonts w:ascii="Times New Roman" w:cs="Times New Roman" w:eastAsia="Times New Roman" w:hAnsi="Times New Roman"/>
          <w:sz w:val="18"/>
          <w:szCs w:val="18"/>
          <w:color w:val="auto"/>
        </w:rPr>
      </w:pPr>
    </w:p>
    <w:p>
      <w:pPr>
        <w:ind w:left="1800" w:right="859" w:hanging="178"/>
        <w:spacing w:after="0" w:line="267"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visibility: </w:t>
      </w:r>
      <w:r>
        <w:rPr>
          <w:rFonts w:ascii="Times New Roman" w:cs="Times New Roman" w:eastAsia="Times New Roman" w:hAnsi="Times New Roman"/>
          <w:sz w:val="18"/>
          <w:szCs w:val="18"/>
          <w:color w:val="auto"/>
        </w:rPr>
        <w:t>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90" w:lineRule="exact"/>
        <w:rPr>
          <w:sz w:val="20"/>
          <w:szCs w:val="20"/>
          <w:color w:val="auto"/>
        </w:rPr>
      </w:pPr>
    </w:p>
    <w:p>
      <w:pPr>
        <w:ind w:left="1260" w:right="7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assets, capturing and managing changes to engineering models and enterprise information for compliance and safety, and to model performance and reliability to support operating and maintenance decisions.</w:t>
      </w:r>
    </w:p>
    <w:p>
      <w:pPr>
        <w:spacing w:after="0" w:line="111"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800" w:right="879" w:hanging="178"/>
        <w:spacing w:after="0" w:line="28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compliance and assurance: </w:t>
      </w:r>
      <w:r>
        <w:rPr>
          <w:rFonts w:ascii="Times New Roman" w:cs="Times New Roman" w:eastAsia="Times New Roman" w:hAnsi="Times New Roman"/>
          <w:sz w:val="18"/>
          <w:szCs w:val="18"/>
          <w:color w:val="auto"/>
        </w:rPr>
        <w:t>Our systems intrinsically enforce the rigor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infrastructure assets in order to provide dependable visibility into the impact of changes;</w:t>
      </w:r>
    </w:p>
    <w:p>
      <w:pPr>
        <w:spacing w:after="0" w:line="63" w:lineRule="exact"/>
        <w:rPr>
          <w:rFonts w:ascii="Times New Roman" w:cs="Times New Roman" w:eastAsia="Times New Roman" w:hAnsi="Times New Roman"/>
          <w:sz w:val="18"/>
          <w:szCs w:val="18"/>
          <w:color w:val="auto"/>
        </w:rPr>
      </w:pPr>
    </w:p>
    <w:p>
      <w:pPr>
        <w:ind w:left="1800" w:right="1179" w:hanging="178"/>
        <w:spacing w:after="0" w:line="28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asset performance: </w:t>
      </w:r>
      <w:r>
        <w:rPr>
          <w:rFonts w:ascii="Times New Roman" w:cs="Times New Roman" w:eastAsia="Times New Roman" w:hAnsi="Times New Roman"/>
          <w:sz w:val="18"/>
          <w:szCs w:val="18"/>
          <w:color w:val="auto"/>
        </w:rPr>
        <w:t>Our solutions include operational dashboards that provide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insights to maintain and improve throughput and reliability; and</w:t>
      </w:r>
    </w:p>
    <w:p>
      <w:pPr>
        <w:spacing w:after="0" w:line="63" w:lineRule="exact"/>
        <w:rPr>
          <w:rFonts w:ascii="Times New Roman" w:cs="Times New Roman" w:eastAsia="Times New Roman" w:hAnsi="Times New Roman"/>
          <w:sz w:val="18"/>
          <w:szCs w:val="18"/>
          <w:color w:val="auto"/>
        </w:rPr>
      </w:pPr>
    </w:p>
    <w:p>
      <w:pPr>
        <w:jc w:val="both"/>
        <w:ind w:left="1800" w:right="759" w:hanging="178"/>
        <w:spacing w:after="0" w:line="26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risk management: </w:t>
      </w:r>
      <w:r>
        <w:rPr>
          <w:rFonts w:ascii="Times New Roman" w:cs="Times New Roman" w:eastAsia="Times New Roman" w:hAnsi="Times New Roman"/>
          <w:sz w:val="18"/>
          <w:szCs w:val="18"/>
          <w:color w:val="auto"/>
        </w:rPr>
        <w:t>Our solutions include predictive analytics that identify potential problems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they occur, and ensure the accessibility of best-available engineering information and models for mitigation and resilience.</w:t>
      </w:r>
    </w:p>
    <w:p>
      <w:pPr>
        <w:spacing w:after="0" w:line="9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mapping “survey”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29" w:lineRule="exact"/>
        <w:rPr>
          <w:sz w:val="20"/>
          <w:szCs w:val="20"/>
          <w:color w:val="auto"/>
        </w:rPr>
      </w:pPr>
    </w:p>
    <w:p>
      <w:pPr>
        <w:jc w:val="both"/>
        <w:ind w:left="1800" w:right="739" w:hanging="178"/>
        <w:spacing w:after="0" w:line="267"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Evergreen 3D city models: </w:t>
      </w:r>
      <w:r>
        <w:rPr>
          <w:rFonts w:ascii="Times New Roman" w:cs="Times New Roman" w:eastAsia="Times New Roman" w:hAnsi="Times New Roman"/>
          <w:sz w:val="18"/>
          <w:szCs w:val="18"/>
          <w:color w:val="auto"/>
        </w:rPr>
        <w:t>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65" w:lineRule="exact"/>
        <w:rPr>
          <w:rFonts w:ascii="Times New Roman" w:cs="Times New Roman" w:eastAsia="Times New Roman" w:hAnsi="Times New Roman"/>
          <w:sz w:val="18"/>
          <w:szCs w:val="18"/>
          <w:color w:val="auto"/>
        </w:rPr>
      </w:pPr>
    </w:p>
    <w:p>
      <w:pPr>
        <w:ind w:left="1800" w:right="879" w:hanging="178"/>
        <w:spacing w:after="0" w:line="267"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resilience: </w:t>
      </w:r>
      <w:r>
        <w:rPr>
          <w:rFonts w:ascii="Times New Roman" w:cs="Times New Roman" w:eastAsia="Times New Roman" w:hAnsi="Times New Roman"/>
          <w:sz w:val="18"/>
          <w:szCs w:val="18"/>
          <w:color w:val="auto"/>
        </w:rPr>
        <w:t>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78" w:lineRule="exact"/>
        <w:rPr>
          <w:rFonts w:ascii="Times New Roman" w:cs="Times New Roman" w:eastAsia="Times New Roman" w:hAnsi="Times New Roman"/>
          <w:sz w:val="18"/>
          <w:szCs w:val="18"/>
          <w:color w:val="auto"/>
        </w:rPr>
      </w:pPr>
    </w:p>
    <w:p>
      <w:pPr>
        <w:ind w:left="1800" w:right="779" w:hanging="178"/>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 conservation: </w:t>
      </w:r>
      <w:r>
        <w:rPr>
          <w:rFonts w:ascii="Times New Roman" w:cs="Times New Roman" w:eastAsia="Times New Roman" w:hAnsi="Times New Roman"/>
          <w:sz w:val="18"/>
          <w:szCs w:val="18"/>
          <w:color w:val="auto"/>
        </w:rPr>
        <w:t>Taking full advantage of our solutions can significantly increase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waste. For instance, our water network modeling tools, applied to compare as-designed specifications to observed flows and pressures, can help to non-invasively locate subsurface water network leaks.</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4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15" w:lineRule="exact"/>
        <w:rPr>
          <w:sz w:val="20"/>
          <w:szCs w:val="20"/>
          <w:color w:val="auto"/>
        </w:rPr>
      </w:pPr>
    </w:p>
    <w:p>
      <w:pPr>
        <w:ind w:left="1800" w:right="719" w:hanging="178"/>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with traditional workflows; for example, a 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61" w:lineRule="exact"/>
        <w:rPr>
          <w:rFonts w:ascii="Times New Roman" w:cs="Times New Roman" w:eastAsia="Times New Roman" w:hAnsi="Times New Roman"/>
          <w:sz w:val="18"/>
          <w:szCs w:val="18"/>
          <w:color w:val="auto"/>
        </w:rPr>
      </w:pPr>
    </w:p>
    <w:p>
      <w:pPr>
        <w:ind w:left="1800" w:right="779" w:hanging="178"/>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of a 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800" w:right="679" w:hanging="178"/>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800" w:right="679" w:hanging="178"/>
        <w:spacing w:after="0" w:line="253"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their assets with IoT sensors, producing torrents of OT data that are difficult to interpret. Software advances in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7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328" w:lineRule="exact"/>
        <w:rPr>
          <w:sz w:val="20"/>
          <w:szCs w:val="20"/>
          <w:color w:val="auto"/>
        </w:rPr>
      </w:pPr>
    </w:p>
    <w:p>
      <w:pPr>
        <w:ind w:left="1260" w:right="879" w:firstLine="360"/>
        <w:spacing w:after="0" w:line="241" w:lineRule="auto"/>
        <w:rPr>
          <w:sz w:val="20"/>
          <w:szCs w:val="20"/>
          <w:color w:val="auto"/>
        </w:rPr>
      </w:pPr>
      <w:r>
        <w:rPr>
          <w:rFonts w:ascii="Times New Roman" w:cs="Times New Roman" w:eastAsia="Times New Roman" w:hAnsi="Times New Roman"/>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103"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importance of integrating our offerings broadly across disciplines is also a reason that we have always prioritized interoperability with competitors’ design tools. For major projects, owners and their</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61" w:lineRule="auto"/>
        <w:rPr>
          <w:sz w:val="20"/>
          <w:szCs w:val="20"/>
          <w:color w:val="auto"/>
        </w:rPr>
      </w:pPr>
      <w:r>
        <w:rPr>
          <w:rFonts w:ascii="Times New Roman" w:cs="Times New Roman" w:eastAsia="Times New Roman" w:hAnsi="Times New Roman"/>
          <w:sz w:val="18"/>
          <w:szCs w:val="18"/>
          <w:color w:val="auto"/>
        </w:rPr>
        <w:t>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95" w:lineRule="exact"/>
        <w:rPr>
          <w:sz w:val="20"/>
          <w:szCs w:val="20"/>
          <w:color w:val="auto"/>
        </w:rPr>
      </w:pPr>
    </w:p>
    <w:p>
      <w:pPr>
        <w:ind w:left="1260" w:right="8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enable 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336"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For an example of advantageous digital workflows from projects to assets, consider our solutions for permitting and routing of over-weight and over-sized loads by departments of transportation. Instead of routing based merely on static maximum load ratings for each bridge, we use actual bridge design models for dynamic structural simulations, and 3D clearances of the actual load configurations. As a result, user organizations are able to engineer safe routes to maximize commerce while protecting bridge longevity.</w:t>
      </w:r>
    </w:p>
    <w:p>
      <w:pPr>
        <w:spacing w:after="0" w:line="11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projects across the public works/utilities, 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102"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practices are 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Key Trends Impacting Our Markets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Growth in Global Infrastructure Demand</w:t>
      </w:r>
    </w:p>
    <w:p>
      <w:pPr>
        <w:spacing w:after="0" w:line="16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expect that the rate of new spending required to meet currently anticipated infrastructure demands will represent a highly significant economic opportunity globally for the next twenty years. According to Oxford Economics’ </w:t>
      </w:r>
      <w:r>
        <w:rPr>
          <w:rFonts w:ascii="Times New Roman" w:cs="Times New Roman" w:eastAsia="Times New Roman" w:hAnsi="Times New Roman"/>
          <w:sz w:val="18"/>
          <w:szCs w:val="18"/>
          <w:i w:val="1"/>
          <w:iCs w:val="1"/>
          <w:color w:val="auto"/>
        </w:rPr>
        <w:t>Global Infrastructure Outlook</w:t>
      </w:r>
      <w:r>
        <w:rPr>
          <w:rFonts w:ascii="Times New Roman" w:cs="Times New Roman" w:eastAsia="Times New Roman" w:hAnsi="Times New Roman"/>
          <w:sz w:val="18"/>
          <w:szCs w:val="18"/>
          <w:color w:val="auto"/>
        </w:rPr>
        <w:t xml:space="preserve"> in 2017 (the “Oxford Economics Outlook”), in 2015, global spending was $2.3 trillion across road, electricity, rail, telecoms, water, airports, and ports. Oxford Economics Outlook forecasts that this spending will increase to an average of $3.2 trillion annually for the period from 2016 to 2040.</w:t>
      </w:r>
    </w:p>
    <w:p>
      <w:pPr>
        <w:spacing w:after="0" w:line="12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increased demand for infrastructure is attributable to various factors, including urbanization and adaptation to demographic and climate changes. According to the Oxford Economics Outlook, by 2040, 10% of the world’s population, and 15% of the population of Asia, will move into cities or find that their environs have newly become cities, and Asia will continue to account for over 50% of anticipated global infrastructure spending, with China alone accounting for 30%.</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Over the period from 2016 through 2040, the Oxford Economics Outlook estimates that approximately $79 trillion will be spent across road, electricity, rail, telecoms, water, airports, and ports, equivalent to approximately 3.0% of global GDP over the same period, broken down by purpose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Roads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Electricity</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Rail</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Telecoms</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Water</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Airports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Ports</w:t>
            </w:r>
          </w:p>
        </w:tc>
      </w:tr>
      <w:tr>
        <w:trPr>
          <w:trHeight w:val="24"/>
        </w:trPr>
        <w:tc>
          <w:tcPr>
            <w:tcW w:w="3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2016-2040 Spending as Approximate Proportion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Global GDP</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3257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The Oxford Economic Outlook estimates that an additional $3.5 trillion of spending would be required to meet the UN’s Sustainable Development Goals by 2030 for universal access to drinking water, sanitation, and electricity. Of this amount, $1.9 trillion is identified as needed to increase drinking water and sanitation capacity.</w:t>
      </w:r>
    </w:p>
    <w:p>
      <w:pPr>
        <w:spacing w:after="0" w:line="309"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The Oxford Economics Outlook quantifies a funding gap by which its predicted actual spending falls short of what it estimates to be the need for functionally sufficient public works/utilities infrastructure. For North America, South America, and Central America, that gap is 47%, suggesting that investment needs in such regions are 47% greater than forecasted investment under current trends. We believe this funding gap, given compelling economic rates of return on further infrastructure investment, will give rise to rapidly increasing private infrastructure financing.</w:t>
      </w:r>
    </w:p>
    <w:p>
      <w:pPr>
        <w:spacing w:after="0" w:line="116"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believe that infrastructure funding gaps will accelerate demands for infrastructure engineering going digital. While significant privately-sourced capital has been earmarked for infrastructure investment, much of those funds are being held as dry powder, with investors seeking attractive projects with sufficient predictability at the outset and sufficient visibility throughout their investment holding periods. We also believe that digital twins can help to meet these requirements for private infrastructure investment and fulfill private infrastructure investors’ expectations of advancement in digital workflows across project and asset lifecycles.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for Environmental Sustainability</w:t>
      </w:r>
    </w:p>
    <w:p>
      <w:pPr>
        <w:spacing w:after="0" w:line="16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global infrastructure engineering community is resolutely taking on the challenges of reducing waste and emissions, improving resilience, and designing for adaption to climate change. Going digital is recognized as essential to accomplish these goals, including in the following respects:</w:t>
      </w:r>
    </w:p>
    <w:p>
      <w:pPr>
        <w:spacing w:after="0" w:line="53" w:lineRule="exact"/>
        <w:rPr>
          <w:sz w:val="20"/>
          <w:szCs w:val="20"/>
          <w:color w:val="auto"/>
        </w:rPr>
      </w:pPr>
    </w:p>
    <w:p>
      <w:pPr>
        <w:ind w:left="1800" w:right="1099" w:hanging="178"/>
        <w:spacing w:after="0" w:line="267"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carbon impact of new projects. </w:t>
      </w:r>
      <w:r>
        <w:rPr>
          <w:rFonts w:ascii="Times New Roman" w:cs="Times New Roman" w:eastAsia="Times New Roman" w:hAnsi="Times New Roman"/>
          <w:sz w:val="18"/>
          <w:szCs w:val="18"/>
          <w:color w:val="auto"/>
        </w:rPr>
        <w:t>During project delivery, digital twin technologies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used to calculate the carbon impact of material, design, and construction alternatives to minimize the emission of carbon dioxide and other greenhouse gases;</w:t>
      </w:r>
    </w:p>
    <w:p>
      <w:pPr>
        <w:spacing w:after="0" w:line="65" w:lineRule="exact"/>
        <w:rPr>
          <w:rFonts w:ascii="Times New Roman" w:cs="Times New Roman" w:eastAsia="Times New Roman" w:hAnsi="Times New Roman"/>
          <w:sz w:val="18"/>
          <w:szCs w:val="18"/>
          <w:color w:val="auto"/>
        </w:rPr>
      </w:pPr>
    </w:p>
    <w:p>
      <w:pPr>
        <w:ind w:left="1800" w:right="819" w:hanging="178"/>
        <w:spacing w:after="0" w:line="267"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Minimizing carbon emissions of operating assets. </w:t>
      </w:r>
      <w:r>
        <w:rPr>
          <w:rFonts w:ascii="Times New Roman" w:cs="Times New Roman" w:eastAsia="Times New Roman" w:hAnsi="Times New Roman"/>
          <w:sz w:val="18"/>
          <w:szCs w:val="18"/>
          <w:color w:val="auto"/>
        </w:rPr>
        <w:t>Simulations and asset performance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engineering models enable adapting existing assets to be more energy-efficient and/or less reliant on fossil fuels;</w:t>
      </w:r>
    </w:p>
    <w:p>
      <w:pPr>
        <w:spacing w:after="0" w:line="65" w:lineRule="exact"/>
        <w:rPr>
          <w:rFonts w:ascii="Times New Roman" w:cs="Times New Roman" w:eastAsia="Times New Roman" w:hAnsi="Times New Roman"/>
          <w:sz w:val="18"/>
          <w:szCs w:val="18"/>
          <w:color w:val="auto"/>
        </w:rPr>
      </w:pPr>
    </w:p>
    <w:p>
      <w:pPr>
        <w:ind w:left="1800" w:right="1039" w:hanging="178"/>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the substitution of renewable energy. </w:t>
      </w:r>
      <w:r>
        <w:rPr>
          <w:rFonts w:ascii="Times New Roman" w:cs="Times New Roman" w:eastAsia="Times New Roman" w:hAnsi="Times New Roman"/>
          <w:sz w:val="18"/>
          <w:szCs w:val="18"/>
          <w:color w:val="auto"/>
        </w:rPr>
        <w:t>In addition to designing new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including wind, solar, hydro-power, and waste-to-energy plants, engineers are leveraging network performance solutions to modernize existing power grids to purposefully incorporate distributed energy resources;</w:t>
      </w:r>
    </w:p>
    <w:p>
      <w:pPr>
        <w:spacing w:after="0" w:line="71" w:lineRule="exact"/>
        <w:rPr>
          <w:rFonts w:ascii="Times New Roman" w:cs="Times New Roman" w:eastAsia="Times New Roman" w:hAnsi="Times New Roman"/>
          <w:sz w:val="18"/>
          <w:szCs w:val="18"/>
          <w:color w:val="auto"/>
        </w:rPr>
      </w:pPr>
    </w:p>
    <w:p>
      <w:pPr>
        <w:ind w:left="1800" w:right="1219" w:hanging="178"/>
        <w:spacing w:after="0" w:line="284"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the use of natural resources. </w:t>
      </w:r>
      <w:r>
        <w:rPr>
          <w:rFonts w:ascii="Times New Roman" w:cs="Times New Roman" w:eastAsia="Times New Roman" w:hAnsi="Times New Roman"/>
          <w:sz w:val="18"/>
          <w:szCs w:val="18"/>
          <w:color w:val="auto"/>
        </w:rPr>
        <w:t>Simulation and analysis applications help engineers,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examples, to</w:t>
      </w:r>
    </w:p>
    <w:p>
      <w:pPr>
        <w:spacing w:after="0" w:line="52" w:lineRule="exact"/>
        <w:rPr>
          <w:rFonts w:ascii="Times New Roman" w:cs="Times New Roman" w:eastAsia="Times New Roman" w:hAnsi="Times New Roman"/>
          <w:sz w:val="18"/>
          <w:szCs w:val="18"/>
          <w:color w:val="auto"/>
        </w:rPr>
      </w:pPr>
    </w:p>
    <w:p>
      <w:pPr>
        <w:ind w:left="2160" w:right="1039" w:hanging="178"/>
        <w:spacing w:after="0" w:line="282" w:lineRule="auto"/>
        <w:tabs>
          <w:tab w:leader="none" w:pos="2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framing of an asset to maximize structural resilience while minimizing the raw material required;</w:t>
      </w:r>
    </w:p>
    <w:p>
      <w:pPr>
        <w:spacing w:after="0" w:line="53" w:lineRule="exact"/>
        <w:rPr>
          <w:rFonts w:ascii="Times New Roman" w:cs="Times New Roman" w:eastAsia="Times New Roman" w:hAnsi="Times New Roman"/>
          <w:sz w:val="18"/>
          <w:szCs w:val="18"/>
          <w:color w:val="auto"/>
        </w:rPr>
      </w:pPr>
    </w:p>
    <w:p>
      <w:pPr>
        <w:ind w:left="2160" w:right="839" w:hanging="178"/>
        <w:spacing w:after="0" w:line="261" w:lineRule="auto"/>
        <w:tabs>
          <w:tab w:leader="none" w:pos="2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locate leaks in water networks to save water and the electricity needed to pump it; and</w:t>
      </w:r>
    </w:p>
    <w:p>
      <w:pPr>
        <w:spacing w:after="0" w:line="314" w:lineRule="exact"/>
        <w:rPr>
          <w:rFonts w:ascii="Times New Roman" w:cs="Times New Roman" w:eastAsia="Times New Roman" w:hAnsi="Times New Roman"/>
          <w:sz w:val="18"/>
          <w:szCs w:val="18"/>
          <w:color w:val="auto"/>
        </w:rPr>
      </w:pPr>
    </w:p>
    <w:p>
      <w:pPr>
        <w:ind w:left="2160" w:right="779" w:hanging="178"/>
        <w:spacing w:after="0" w:line="261" w:lineRule="auto"/>
        <w:tabs>
          <w:tab w:leader="none" w:pos="2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engineer wastewater treatment and water reclamation plants to save water resources; and</w:t>
      </w:r>
    </w:p>
    <w:p>
      <w:pPr>
        <w:spacing w:after="0" w:line="312"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Building resilience into cities and assets. </w:t>
      </w:r>
      <w:r>
        <w:rPr>
          <w:rFonts w:ascii="Times New Roman" w:cs="Times New Roman" w:eastAsia="Times New Roman" w:hAnsi="Times New Roman"/>
          <w:sz w:val="18"/>
          <w:szCs w:val="18"/>
          <w:color w:val="auto"/>
        </w:rPr>
        <w:t>Engineers today can model the impact of floods,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earthquakes, hazardous spills, and extreme weather, and can accordingly harden infrastructure to minimize risks and mitigate the damage, disruption, and losses associated with such events.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Industrialization of Infrastructure Projects</w:t>
      </w:r>
    </w:p>
    <w:p>
      <w:pPr>
        <w:spacing w:after="0" w:line="162"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While digital technologies have long and continuously improved the economics of manufacturing, infrastructure owners and investors are becoming increasingly dissatisfied with the low productivity improvements and rampant schedule and cost overruns too often associated with infrastructure project delivery. Owner-operators have tended to allow each engineering design to start from scratch, without taking</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50" w:lineRule="auto"/>
        <w:rPr>
          <w:sz w:val="20"/>
          <w:szCs w:val="20"/>
          <w:color w:val="auto"/>
        </w:rPr>
      </w:pPr>
      <w:r>
        <w:rPr>
          <w:rFonts w:ascii="Times New Roman" w:cs="Times New Roman" w:eastAsia="Times New Roman" w:hAnsi="Times New Roman"/>
          <w:sz w:val="18"/>
          <w:szCs w:val="18"/>
          <w:color w:val="auto"/>
        </w:rPr>
        <w:t>into account potential synergies with the owner’s existing asset fleet, operational performance history, and knowledge from comparable assets, thereby limiting opportunities for lifecycle-cost breakthroughs from construction-driven and operations-driven design.</w:t>
      </w:r>
    </w:p>
    <w:p>
      <w:pPr>
        <w:spacing w:after="0" w:line="96"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Infrastructure engineering organizations are increasingly acknowledging imperatives for going digital to address these inefficiencies. New strategies are focused on the “industrialization” of infrastructure design and construction, using a smaller palette of modular functional elements dictated by the owner, fabricated offsite for economy, quality, and safety, and transported and assembled onsite. In construction, industrialization portends automation and robotics with digitally controlled machinery, which is already underway for heavy civil earthmoving.</w:t>
      </w:r>
    </w:p>
    <w:p>
      <w:pPr>
        <w:spacing w:after="0" w:line="116"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We believe that industrialization of infrastructure delivery is compelling and inevitable, and will lead owner- operators to harness their own operating asset performance analytics to direct their project supply chains to learn from and deliver digital twins along with physical assets. We also believe industrialization’s success will drive, and depend on, the adoption of 4D digital workflows for conception through construction, the comprehensiveness of all participants’ solutions, and connectedness both in their data environments and between asset and project lifecycles.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Owner-Operators</w:t>
      </w:r>
    </w:p>
    <w:p>
      <w:pPr>
        <w:spacing w:after="0" w:line="162"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Trends that are influencing owner-operators’ requirements for infrastructure engineering software include:</w:t>
      </w:r>
    </w:p>
    <w:p>
      <w:pPr>
        <w:spacing w:after="0" w:line="39" w:lineRule="exact"/>
        <w:rPr>
          <w:sz w:val="20"/>
          <w:szCs w:val="20"/>
          <w:color w:val="auto"/>
        </w:rPr>
      </w:pPr>
    </w:p>
    <w:p>
      <w:pPr>
        <w:ind w:left="1800" w:right="799" w:hanging="178"/>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Autonomous vehicles. </w:t>
      </w:r>
      <w:r>
        <w:rPr>
          <w:rFonts w:ascii="Times New Roman" w:cs="Times New Roman" w:eastAsia="Times New Roman" w:hAnsi="Times New Roman"/>
          <w:sz w:val="18"/>
          <w:szCs w:val="18"/>
          <w:color w:val="auto"/>
        </w:rPr>
        <w:t>We believe that the increase in investment in and demand for autonomous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technologies will drive the need for intelligent roadway infrastructure. Roadway and related infrastructure owners will likely need to actively participate, creating an opportunity for roadway digital twins;</w:t>
      </w:r>
    </w:p>
    <w:p>
      <w:pPr>
        <w:spacing w:after="0" w:line="58" w:lineRule="exact"/>
        <w:rPr>
          <w:rFonts w:ascii="Times New Roman" w:cs="Times New Roman" w:eastAsia="Times New Roman" w:hAnsi="Times New Roman"/>
          <w:sz w:val="18"/>
          <w:szCs w:val="18"/>
          <w:color w:val="auto"/>
        </w:rPr>
      </w:pPr>
    </w:p>
    <w:p>
      <w:pPr>
        <w:ind w:left="1800" w:right="859" w:hanging="178"/>
        <w:spacing w:after="0" w:line="258"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Ubiquitous connected devices. </w:t>
      </w:r>
      <w:r>
        <w:rPr>
          <w:rFonts w:ascii="Times New Roman" w:cs="Times New Roman" w:eastAsia="Times New Roman" w:hAnsi="Times New Roman"/>
          <w:sz w:val="18"/>
          <w:szCs w:val="18"/>
          <w:color w:val="auto"/>
        </w:rPr>
        <w:t>We believe that owner-operators are increasingly looking to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maximize their use of new technologies such as IoT and 5G, which will help them propel their businesses to innovate further and go digital. For example, in bridge structural monitoring, machine learning applied to video of deflections during truckload passage can be as effective as sophisticated instrumentation with an array of sensors in detecting structural deficiencies;</w:t>
      </w:r>
    </w:p>
    <w:p>
      <w:pPr>
        <w:spacing w:after="0" w:line="61" w:lineRule="exact"/>
        <w:rPr>
          <w:rFonts w:ascii="Times New Roman" w:cs="Times New Roman" w:eastAsia="Times New Roman" w:hAnsi="Times New Roman"/>
          <w:sz w:val="18"/>
          <w:szCs w:val="18"/>
          <w:color w:val="auto"/>
        </w:rPr>
      </w:pPr>
    </w:p>
    <w:p>
      <w:pPr>
        <w:jc w:val="both"/>
        <w:ind w:left="1800" w:right="739" w:hanging="178"/>
        <w:spacing w:after="0" w:line="267"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funding models. </w:t>
      </w:r>
      <w:r>
        <w:rPr>
          <w:rFonts w:ascii="Times New Roman" w:cs="Times New Roman" w:eastAsia="Times New Roman" w:hAnsi="Times New Roman"/>
          <w:sz w:val="18"/>
          <w:szCs w:val="18"/>
          <w:color w:val="auto"/>
        </w:rPr>
        <w:t>Newer forms of funding may catalyze the adoption of digital twins.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property tax proceeds can be increased based on building improvements that are machine-learned from aerial imagery; and</w:t>
      </w:r>
    </w:p>
    <w:p>
      <w:pPr>
        <w:spacing w:after="0" w:line="38" w:lineRule="exact"/>
        <w:rPr>
          <w:rFonts w:ascii="Times New Roman" w:cs="Times New Roman" w:eastAsia="Times New Roman" w:hAnsi="Times New Roman"/>
          <w:sz w:val="18"/>
          <w:szCs w:val="18"/>
          <w:color w:val="auto"/>
        </w:rPr>
      </w:pPr>
    </w:p>
    <w:p>
      <w:pPr>
        <w:ind w:left="1800" w:right="679" w:hanging="178"/>
        <w:spacing w:after="0" w:line="260"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Threats to critical infrastructure. </w:t>
      </w:r>
      <w:r>
        <w:rPr>
          <w:rFonts w:ascii="Times New Roman" w:cs="Times New Roman" w:eastAsia="Times New Roman" w:hAnsi="Times New Roman"/>
          <w:sz w:val="18"/>
          <w:szCs w:val="18"/>
          <w:color w:val="auto"/>
        </w:rPr>
        <w:t>Certain vulnerabilities, such as risks to the electric grid or potable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 sources, represent potential use cases for digital twins for planning and execution of hardening, monitoring, and emergency response. Additionally, the requirement for industrial-strength cyber-security for infrastructure digital twins will raise the barriers for entry, favoring world-class proprietors.</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Project Delivery Organizations</w:t>
      </w:r>
    </w:p>
    <w:p>
      <w:pPr>
        <w:spacing w:after="0" w:line="162" w:lineRule="exact"/>
        <w:rPr>
          <w:sz w:val="20"/>
          <w:szCs w:val="20"/>
          <w:color w:val="auto"/>
        </w:rPr>
      </w:pPr>
    </w:p>
    <w:p>
      <w:pPr>
        <w:ind w:left="1260" w:right="1439" w:firstLine="360"/>
        <w:spacing w:after="0" w:line="266" w:lineRule="auto"/>
        <w:rPr>
          <w:sz w:val="20"/>
          <w:szCs w:val="20"/>
          <w:color w:val="auto"/>
        </w:rPr>
      </w:pPr>
      <w:r>
        <w:rPr>
          <w:rFonts w:ascii="Times New Roman" w:cs="Times New Roman" w:eastAsia="Times New Roman" w:hAnsi="Times New Roman"/>
          <w:sz w:val="18"/>
          <w:szCs w:val="18"/>
          <w:color w:val="auto"/>
        </w:rPr>
        <w:t>Despite the potential upside in business outcomes presented by going digital, engineering and construction organizations face challenging constraints:</w:t>
      </w:r>
    </w:p>
    <w:p>
      <w:pPr>
        <w:spacing w:after="0" w:line="52" w:lineRule="exact"/>
        <w:rPr>
          <w:sz w:val="20"/>
          <w:szCs w:val="20"/>
          <w:color w:val="auto"/>
        </w:rPr>
      </w:pPr>
    </w:p>
    <w:p>
      <w:pPr>
        <w:ind w:left="1800" w:right="699" w:hanging="178"/>
        <w:spacing w:after="0" w:line="254"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model obsolescence. </w:t>
      </w:r>
      <w:r>
        <w:rPr>
          <w:rFonts w:ascii="Times New Roman" w:cs="Times New Roman" w:eastAsia="Times New Roman" w:hAnsi="Times New Roman"/>
          <w:sz w:val="18"/>
          <w:szCs w:val="18"/>
          <w:color w:val="auto"/>
        </w:rPr>
        <w:t>Traditionally, most engineering firms have relied primarily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phase of owners’ “design-bid-build” procurement models, billing for their design hours and leaving owners to retain the resulting cost and change risks associated with actual project delivery. We believe that owners increasingly prefer procurement models with some extent of integrated project delivery including construction, and they are increasingly open to financing models such as public-private partnerships, which focus on delivering both project and asset outcomes efficiently over a full asset lifecycle. As a result, both engineering and construction firms are increasingly under pressure to embrace integrated project delivery systems to share their work effectively, rather than accepting risks outside their domain or losing the work to integrated competitors;</w:t>
      </w:r>
    </w:p>
    <w:p>
      <w:pPr>
        <w:spacing w:after="0" w:line="53" w:lineRule="exact"/>
        <w:rPr>
          <w:rFonts w:ascii="Times New Roman" w:cs="Times New Roman" w:eastAsia="Times New Roman" w:hAnsi="Times New Roman"/>
          <w:sz w:val="18"/>
          <w:szCs w:val="18"/>
          <w:color w:val="auto"/>
        </w:rPr>
      </w:pPr>
    </w:p>
    <w:p>
      <w:pPr>
        <w:jc w:val="both"/>
        <w:ind w:left="1800" w:right="739" w:hanging="178"/>
        <w:spacing w:after="0" w:line="284"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Recruitment constraints. </w:t>
      </w:r>
      <w:r>
        <w:rPr>
          <w:rFonts w:ascii="Times New Roman" w:cs="Times New Roman" w:eastAsia="Times New Roman" w:hAnsi="Times New Roman"/>
          <w:sz w:val="18"/>
          <w:szCs w:val="18"/>
          <w:color w:val="auto"/>
        </w:rPr>
        <w:t>Engineering firms are each challenged to compete for increasingly scarce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engineering skills and talent. In order to grow, these firms realize they need to be going digital,</w:t>
      </w:r>
    </w:p>
    <w:p>
      <w:pPr>
        <w:sectPr>
          <w:pgSz w:w="11900" w:h="16838" w:orient="portrait"/>
          <w:cols w:equalWidth="0" w:num="1">
            <w:col w:w="10139"/>
          </w:cols>
          <w:pgMar w:left="320" w:top="114" w:right="1440" w:bottom="1440" w:gutter="0" w:footer="0" w:header="0"/>
        </w:sect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99"/>
        <w:spacing w:after="0" w:line="259" w:lineRule="auto"/>
        <w:rPr>
          <w:sz w:val="20"/>
          <w:szCs w:val="20"/>
          <w:color w:val="auto"/>
        </w:rPr>
      </w:pPr>
      <w:r>
        <w:rPr>
          <w:rFonts w:ascii="Times New Roman" w:cs="Times New Roman" w:eastAsia="Times New Roman" w:hAnsi="Times New Roman"/>
          <w:sz w:val="18"/>
          <w:szCs w:val="18"/>
          <w:color w:val="auto"/>
        </w:rPr>
        <w:t>substituting technology for labor, and charging for increased value despite decreasing labor hours. Over time, however, we believe that as the infrastructure engineering professions fully adopt digital twin infrastructure engineering software, which is more visually immersive and interactive, their work will become relatively more appealing to “digital native” generations of potential engineering talent;</w:t>
      </w:r>
    </w:p>
    <w:p>
      <w:pPr>
        <w:spacing w:after="0" w:line="293" w:lineRule="exact"/>
        <w:rPr>
          <w:sz w:val="20"/>
          <w:szCs w:val="20"/>
          <w:color w:val="auto"/>
        </w:rPr>
      </w:pPr>
    </w:p>
    <w:p>
      <w:pPr>
        <w:ind w:left="1800" w:right="859" w:hanging="178"/>
        <w:spacing w:after="0" w:line="25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Globalization of competition. </w:t>
      </w:r>
      <w:r>
        <w:rPr>
          <w:rFonts w:ascii="Times New Roman" w:cs="Times New Roman" w:eastAsia="Times New Roman" w:hAnsi="Times New Roman"/>
          <w:sz w:val="18"/>
          <w:szCs w:val="18"/>
          <w:color w:val="auto"/>
        </w:rPr>
        <w:t>New technologies have enabled engineers around the world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to projects located in other countries. Using these technologies, foreign firms are able to bid aggressively and win work elsewhere, and even domestic competitors have established value engineering centers in overseas locations where engineering skills are relatively abundant, inexpensive, and digitally advanced. We believe that many firms in established markets recognize that going digital is essential both to maximize their local productivity and to fully integrate with virtualized collaborators worldwide;</w:t>
      </w:r>
    </w:p>
    <w:p>
      <w:pPr>
        <w:spacing w:after="0" w:line="74" w:lineRule="exact"/>
        <w:rPr>
          <w:rFonts w:ascii="Times New Roman" w:cs="Times New Roman" w:eastAsia="Times New Roman" w:hAnsi="Times New Roman"/>
          <w:sz w:val="18"/>
          <w:szCs w:val="18"/>
          <w:color w:val="auto"/>
        </w:rPr>
      </w:pPr>
    </w:p>
    <w:p>
      <w:pPr>
        <w:ind w:left="1800" w:right="739" w:hanging="178"/>
        <w:spacing w:after="0" w:line="25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constraints. </w:t>
      </w:r>
      <w:r>
        <w:rPr>
          <w:rFonts w:ascii="Times New Roman" w:cs="Times New Roman" w:eastAsia="Times New Roman" w:hAnsi="Times New Roman"/>
          <w:sz w:val="18"/>
          <w:szCs w:val="18"/>
          <w:color w:val="auto"/>
        </w:rPr>
        <w:t>In general, design and construction firms have not presented a compelling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for investors, given their relatively higher risks and lower returns relative to other investment opportunities, and hence tend to be thinly capitalized. These firms require digital solutions, but often do not have the financial capital or technical resources to attempt to self-develop them. As a result, design and construction firms are increasingly a large and ready market for infrastructure engineering software, especially offerings with open-source capabilities for firms to configure and brand their own digital-twin offerings and analytics; and</w:t>
      </w:r>
    </w:p>
    <w:p>
      <w:pPr>
        <w:spacing w:after="0" w:line="74"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silos. </w:t>
      </w:r>
      <w:r>
        <w:rPr>
          <w:rFonts w:ascii="Times New Roman" w:cs="Times New Roman" w:eastAsia="Times New Roman" w:hAnsi="Times New Roman"/>
          <w:sz w:val="18"/>
          <w:szCs w:val="18"/>
          <w:color w:val="auto"/>
        </w:rPr>
        <w:t>Legacy software applications often produce static deliverables in one-time, one-way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formats, siloed from the digital workflows required to bridge disciplines and lifecycle phases. Competitiveness in today’s project delivery market requires solutions that facilitate data created by one application (for instance, in design) serving as inputs in new automated workflows by other applications (for instance, in 4D construction modeling). Such digital workflows improve productivity and quality, helping project delivery enterprises toward replication so that every project performs as well as their best projects.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The Digital Twins Opportunity</w:t>
      </w:r>
    </w:p>
    <w:p>
      <w:pPr>
        <w:spacing w:after="0" w:line="148"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We believe that digital progress in infrastructure advancement has to date lagged behind other economic domains for several reasons, including that:</w:t>
      </w:r>
    </w:p>
    <w:p>
      <w:pPr>
        <w:spacing w:after="0" w:line="54" w:lineRule="exact"/>
        <w:rPr>
          <w:sz w:val="20"/>
          <w:szCs w:val="20"/>
          <w:color w:val="auto"/>
        </w:rPr>
      </w:pPr>
    </w:p>
    <w:p>
      <w:pPr>
        <w:ind w:left="1800" w:hanging="178"/>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existing infrastructure assets predate engineering modeling software;</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engineers’ work, including by way of building information modeling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71"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Over our company’s history, as computing capabilities have advanced, the scope of infrastructure engineering software has correspondingly increased. However, project lifecycle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25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Project Lifecycle Software</w:t>
            </w:r>
          </w:p>
        </w:tc>
      </w:tr>
      <w:tr>
        <w:trPr>
          <w:trHeight w:val="23"/>
        </w:trPr>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1985 – 1995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2D Drafting (“Computer Aided</w:t>
            </w:r>
          </w:p>
        </w:tc>
      </w:tr>
      <w:tr>
        <w:trPr>
          <w:trHeight w:val="218"/>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Design,” or “CAD”):</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Workstations and then personal</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computers make possible</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graphical applications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automate the creation of</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previously manually drafted 2D</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engineering drawings.</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1996 – 2005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Networked</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personal computers and servers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platforms for file-sharing</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referencing. Common Data</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Environments (“CDEs”) are</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introduced.</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2006 – 2015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3D BIM</w:t>
            </w:r>
            <w:r>
              <w:rPr>
                <w:rFonts w:ascii="Times New Roman" w:cs="Times New Roman" w:eastAsia="Times New Roman" w:hAnsi="Times New Roman"/>
                <w:sz w:val="18"/>
                <w:szCs w:val="18"/>
                <w:color w:val="auto"/>
              </w:rPr>
              <w:t>: Increased personal</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computing power enables the</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of 3D applications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design of specific asset types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including buildings, process</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plants, roads, water networks, and</w:t>
            </w:r>
          </w:p>
        </w:tc>
      </w:tr>
    </w:tbl>
    <w:p>
      <w:pPr>
        <w:ind w:left="4060"/>
        <w:spacing w:after="0"/>
        <w:rPr>
          <w:sz w:val="20"/>
          <w:szCs w:val="20"/>
          <w:color w:val="auto"/>
        </w:rPr>
      </w:pPr>
      <w:r>
        <w:rPr>
          <w:rFonts w:ascii="Times New Roman" w:cs="Times New Roman" w:eastAsia="Times New Roman" w:hAnsi="Times New Roman"/>
          <w:sz w:val="18"/>
          <w:szCs w:val="18"/>
          <w:color w:val="auto"/>
        </w:rPr>
        <w:t>buildings. CDEs and the internet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lead to global work-sharing and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collaborative BIM.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Asset Lifecycle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3" w:lineRule="exact"/>
        <w:rPr>
          <w:sz w:val="20"/>
          <w:szCs w:val="20"/>
          <w:color w:val="auto"/>
        </w:rPr>
      </w:pPr>
    </w:p>
    <w:p>
      <w:pPr>
        <w:ind w:right="6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2D Mapping: </w:t>
      </w:r>
      <w:r>
        <w:rPr>
          <w:rFonts w:ascii="Times New Roman" w:cs="Times New Roman" w:eastAsia="Times New Roman" w:hAnsi="Times New Roman"/>
          <w:sz w:val="18"/>
          <w:szCs w:val="18"/>
          <w:color w:val="auto"/>
        </w:rPr>
        <w:t>Workstations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computers make possible interactive graphical applications to automate the creation of maps.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7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Geographic Information Systems (“GIS”): </w:t>
      </w:r>
      <w:r>
        <w:rPr>
          <w:rFonts w:ascii="Times New Roman" w:cs="Times New Roman" w:eastAsia="Times New Roman" w:hAnsi="Times New Roman"/>
          <w:sz w:val="18"/>
          <w:szCs w:val="18"/>
          <w:color w:val="auto"/>
        </w:rPr>
        <w:t>Networked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 and servers enable querying and visualization of geographic data.</w:t>
      </w:r>
    </w:p>
    <w:p>
      <w:pPr>
        <w:spacing w:after="0" w:line="224" w:lineRule="exact"/>
        <w:rPr>
          <w:sz w:val="20"/>
          <w:szCs w:val="20"/>
          <w:color w:val="auto"/>
        </w:rPr>
      </w:pPr>
    </w:p>
    <w:p>
      <w:pPr>
        <w:ind w:right="7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Geospatial: </w:t>
      </w:r>
      <w:r>
        <w:rPr>
          <w:rFonts w:ascii="Times New Roman" w:cs="Times New Roman" w:eastAsia="Times New Roman" w:hAnsi="Times New Roman"/>
          <w:sz w:val="18"/>
          <w:szCs w:val="18"/>
          <w:color w:val="auto"/>
        </w:rPr>
        <w:t>Increased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space enables geo-coordinated engineering models. GPS technology enables alignment of digital components and real-world coordinates.</w:t>
      </w:r>
    </w:p>
    <w:p>
      <w:pPr>
        <w:spacing w:after="0" w:line="74" w:lineRule="exact"/>
        <w:rPr>
          <w:sz w:val="20"/>
          <w:szCs w:val="20"/>
          <w:color w:val="auto"/>
        </w:rPr>
      </w:pPr>
    </w:p>
    <w:p>
      <w:pPr>
        <w:ind w:right="6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Performance Management (“APM”): </w:t>
      </w:r>
      <w:r>
        <w:rPr>
          <w:rFonts w:ascii="Times New Roman" w:cs="Times New Roman" w:eastAsia="Times New Roman" w:hAnsi="Times New Roman"/>
          <w:sz w:val="18"/>
          <w:szCs w:val="18"/>
          <w:color w:val="auto"/>
        </w:rPr>
        <w:t>solutions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introduced for reliability-centered maintenance and risk-based inspection.</w:t>
      </w:r>
    </w:p>
    <w:p>
      <w:pPr>
        <w:spacing w:after="0" w:line="35" w:lineRule="exact"/>
        <w:rPr>
          <w:sz w:val="20"/>
          <w:szCs w:val="20"/>
          <w:color w:val="auto"/>
        </w:rPr>
      </w:pPr>
    </w:p>
    <w:p>
      <w:pPr>
        <w:sectPr>
          <w:pgSz w:w="11900" w:h="16838" w:orient="portrait"/>
          <w:cols w:equalWidth="0" w:num="2">
            <w:col w:w="6660" w:space="220"/>
            <w:col w:w="3259"/>
          </w:cols>
          <w:pgMar w:left="320" w:top="114" w:right="1440" w:bottom="1440" w:gutter="0" w:footer="0" w:header="0"/>
        </w:sectPr>
      </w:pPr>
    </w:p>
    <w:tbl>
      <w:tblPr>
        <w:tblLayout w:type="fixed"/>
        <w:tblInd w:w="1260" w:type="dxa"/>
        <w:tblCellMar>
          <w:top w:w="0" w:type="dxa"/>
          <w:left w:w="0" w:type="dxa"/>
          <w:bottom w:w="0" w:type="dxa"/>
          <w:right w:w="0" w:type="dxa"/>
        </w:tblCellMar>
      </w:tblP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2015 – 2018</w:t>
            </w: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Reality Modeling</w:t>
            </w:r>
            <w:r>
              <w:rPr>
                <w:rFonts w:ascii="Times New Roman" w:cs="Times New Roman" w:eastAsia="Times New Roman" w:hAnsi="Times New Roman"/>
                <w:sz w:val="18"/>
                <w:szCs w:val="18"/>
                <w:color w:val="auto"/>
              </w:rPr>
              <w:t>: Advances in</w:t>
            </w:r>
          </w:p>
        </w:tc>
      </w:tr>
      <w:tr>
        <w:trPr>
          <w:trHeight w:val="216"/>
        </w:trPr>
        <w:tc>
          <w:tcPr>
            <w:tcW w:w="1860" w:type="dxa"/>
            <w:vAlign w:val="bottom"/>
          </w:tcPr>
          <w:p>
            <w:pPr>
              <w:spacing w:after="0"/>
              <w:rPr>
                <w:sz w:val="18"/>
                <w:szCs w:val="18"/>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digital imagery, unmanned aerial</w:t>
            </w:r>
          </w:p>
        </w:tc>
      </w:tr>
      <w:tr>
        <w:trPr>
          <w:trHeight w:val="216"/>
        </w:trPr>
        <w:tc>
          <w:tcPr>
            <w:tcW w:w="1860" w:type="dxa"/>
            <w:vAlign w:val="bottom"/>
          </w:tcPr>
          <w:p>
            <w:pPr>
              <w:spacing w:after="0"/>
              <w:rPr>
                <w:sz w:val="18"/>
                <w:szCs w:val="18"/>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vehicles (“UAVs,” or “drones”),</w:t>
            </w:r>
          </w:p>
        </w:tc>
      </w:tr>
      <w:tr>
        <w:trPr>
          <w:trHeight w:val="234"/>
        </w:trPr>
        <w:tc>
          <w:tcPr>
            <w:tcW w:w="1860" w:type="dxa"/>
            <w:vAlign w:val="bottom"/>
          </w:tcPr>
          <w:p>
            <w:pPr>
              <w:spacing w:after="0"/>
              <w:rPr>
                <w:sz w:val="20"/>
                <w:szCs w:val="20"/>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specialized software enable</w:t>
            </w:r>
          </w:p>
        </w:tc>
      </w:tr>
    </w:tbl>
    <w:p>
      <w:pPr>
        <w:ind w:left="4060"/>
        <w:spacing w:after="0"/>
        <w:rPr>
          <w:sz w:val="20"/>
          <w:szCs w:val="20"/>
          <w:color w:val="auto"/>
        </w:rPr>
      </w:pPr>
      <w:r>
        <w:rPr>
          <w:rFonts w:ascii="Times New Roman" w:cs="Times New Roman" w:eastAsia="Times New Roman" w:hAnsi="Times New Roman"/>
          <w:sz w:val="18"/>
          <w:szCs w:val="18"/>
          <w:color w:val="auto"/>
        </w:rPr>
        <w:t>the automated capture of as-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operated conditions of an asset or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site in an engineering-ready, geo-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coordinated 3D model. Cloud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 xml:space="preserve">ubiquity enables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Data</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Environments to evolve into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 xml:space="preserve">Connected </w:t>
      </w:r>
      <w:r>
        <w:rPr>
          <w:rFonts w:ascii="Times New Roman" w:cs="Times New Roman" w:eastAsia="Times New Roman" w:hAnsi="Times New Roman"/>
          <w:sz w:val="18"/>
          <w:szCs w:val="18"/>
          <w:color w:val="auto"/>
        </w:rPr>
        <w:t>Data Environments.</w:t>
      </w:r>
    </w:p>
    <w:p>
      <w:pPr>
        <w:spacing w:after="0" w:line="20" w:lineRule="exact"/>
        <w:rPr>
          <w:sz w:val="20"/>
          <w:szCs w:val="20"/>
          <w:color w:val="auto"/>
        </w:rPr>
      </w:pPr>
      <w:r>
        <w:rPr>
          <w:sz w:val="20"/>
          <w:szCs w:val="20"/>
          <w:color w:val="auto"/>
        </w:rPr>
        <w:br w:type="column"/>
      </w:r>
    </w:p>
    <w:p>
      <w:pPr>
        <w:ind w:right="6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APM </w:t>
      </w:r>
      <w:r>
        <w:rPr>
          <w:rFonts w:ascii="Times New Roman" w:cs="Times New Roman" w:eastAsia="Times New Roman" w:hAnsi="Times New Roman"/>
          <w:sz w:val="18"/>
          <w:szCs w:val="18"/>
          <w:color w:val="auto"/>
        </w:rPr>
        <w:t>evolves into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w:t>
      </w:r>
      <w:r>
        <w:rPr>
          <w:rFonts w:ascii="Times New Roman" w:cs="Times New Roman" w:eastAsia="Times New Roman" w:hAnsi="Times New Roman"/>
          <w:sz w:val="18"/>
          <w:szCs w:val="18"/>
          <w:i w:val="1"/>
          <w:iCs w:val="1"/>
          <w:color w:val="auto"/>
        </w:rPr>
        <w:t>Modeling</w:t>
      </w:r>
      <w:r>
        <w:rPr>
          <w:rFonts w:ascii="Times New Roman" w:cs="Times New Roman" w:eastAsia="Times New Roman" w:hAnsi="Times New Roman"/>
          <w:sz w:val="18"/>
          <w:szCs w:val="18"/>
          <w:color w:val="auto"/>
        </w:rPr>
        <w:t>, with engineering models recalibrated to reproduce and understand observed behaviors, and apply algorithms and analytics to derive insights and drive decisions.</w:t>
      </w:r>
    </w:p>
    <w:p>
      <w:pPr>
        <w:spacing w:after="0" w:line="870" w:lineRule="exact"/>
        <w:rPr>
          <w:sz w:val="20"/>
          <w:szCs w:val="20"/>
          <w:color w:val="auto"/>
        </w:rPr>
      </w:pPr>
    </w:p>
    <w:p>
      <w:pPr>
        <w:sectPr>
          <w:pgSz w:w="11900" w:h="16838" w:orient="portrait"/>
          <w:cols w:equalWidth="0" w:num="2">
            <w:col w:w="6600" w:space="280"/>
            <w:col w:w="3259"/>
          </w:cols>
          <w:pgMar w:left="320" w:top="114" w:right="1440" w:bottom="1440" w:gutter="0" w:footer="0" w:header="0"/>
          <w:type w:val="continuous"/>
        </w:sect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2019 – Present</w:t>
      </w:r>
      <w:r>
        <w:rPr>
          <w:sz w:val="20"/>
          <w:szCs w:val="20"/>
          <w:color w:val="auto"/>
        </w:rPr>
        <w:tab/>
      </w:r>
      <w:r>
        <w:rPr>
          <w:rFonts w:ascii="Times New Roman" w:cs="Times New Roman" w:eastAsia="Times New Roman" w:hAnsi="Times New Roman"/>
          <w:sz w:val="18"/>
          <w:szCs w:val="18"/>
          <w:i w:val="1"/>
          <w:iCs w:val="1"/>
          <w:color w:val="auto"/>
        </w:rPr>
        <w:t xml:space="preserve">4D Digital Twins: </w:t>
      </w:r>
      <w:r>
        <w:rPr>
          <w:rFonts w:ascii="Times New Roman" w:cs="Times New Roman" w:eastAsia="Times New Roman" w:hAnsi="Times New Roman"/>
          <w:sz w:val="18"/>
          <w:szCs w:val="18"/>
          <w:color w:val="auto"/>
        </w:rPr>
        <w:t>Digital twins make possible the simulation of the</w:t>
      </w:r>
    </w:p>
    <w:p>
      <w:pPr>
        <w:spacing w:after="0" w:line="29" w:lineRule="exact"/>
        <w:rPr>
          <w:sz w:val="20"/>
          <w:szCs w:val="20"/>
          <w:color w:val="auto"/>
        </w:rPr>
      </w:pPr>
    </w:p>
    <w:p>
      <w:pPr>
        <w:ind w:left="4060" w:right="719"/>
        <w:spacing w:after="0" w:line="251" w:lineRule="auto"/>
        <w:rPr>
          <w:sz w:val="20"/>
          <w:szCs w:val="20"/>
          <w:color w:val="auto"/>
        </w:rPr>
      </w:pPr>
      <w:r>
        <w:rPr>
          <w:rFonts w:ascii="Times New Roman" w:cs="Times New Roman" w:eastAsia="Times New Roman" w:hAnsi="Times New Roman"/>
          <w:sz w:val="18"/>
          <w:szCs w:val="18"/>
          <w:color w:val="auto"/>
        </w:rPr>
        <w:t>behavior and the visualization of the changes of a project or infrastructure asset over time. Digital twins are continually updated in a cloud database and remain current and “evergreen,” over the full project and asset lifecycle, through continuous surveying of the physical context and embedded links to inputs from connected IoT sensors in the operating asset. With digital twins, users are empowered to better understand the impact of changes over time for projects and assets to improve project, construction, and operational efficiencies, predictability, and overall outcomes.</w:t>
      </w:r>
    </w:p>
    <w:p>
      <w:pPr>
        <w:spacing w:after="0" w:line="153"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To enable infrastructure engineering to catch up and advance in “going digital,” we have enabled infrastructure digital twins, cloud-provisioned digital representations of projects and assets that incorporate and converge their 3D physical conditions (“digital context”) for reality, their underlying engineering information (“digital components”) for veracity, and their 4D timeline of changes (“digital chronology”) for fidelity, enabling the merging of project lifecycle and asset lifecycle workflows.</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556895</wp:posOffset>
            </wp:positionV>
            <wp:extent cx="3865880" cy="27171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6588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Digital twins solutions are now made possible by new technologies including UAVs and their intrinsic “surveying” sensors, machine learning, cloud computing, open-source development libraries, distributed ledger software, and mixed-reality visualization.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software to leverage these advancements for our digital twins offerings includes:</w:t>
      </w:r>
    </w:p>
    <w:p>
      <w:pPr>
        <w:spacing w:after="0" w:line="113" w:lineRule="exact"/>
        <w:rPr>
          <w:sz w:val="20"/>
          <w:szCs w:val="20"/>
          <w:color w:val="auto"/>
        </w:rPr>
      </w:pPr>
    </w:p>
    <w:p>
      <w:pPr>
        <w:ind w:left="1800" w:right="799" w:hanging="178"/>
        <w:spacing w:after="0" w:line="257"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Reality modeling software</w:t>
      </w:r>
      <w:r>
        <w:rPr>
          <w:rFonts w:ascii="Times New Roman" w:cs="Times New Roman" w:eastAsia="Times New Roman" w:hAnsi="Times New Roman"/>
          <w:sz w:val="18"/>
          <w:szCs w:val="18"/>
          <w:color w:val="auto"/>
        </w:rPr>
        <w:t>, which processes any combination of overlapping digital photography,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 and scanned imagery to produce a 3D model. Our software then uses machine learning to recognize and classify components within the 3D model (such as equipment, structural elements, pipes, valves, tags, and nameplates). This process populates the digital twins’ digital context with digital components that add intelligence, especially when aligned with engineering models from the design stage;</w:t>
      </w:r>
    </w:p>
    <w:p>
      <w:pPr>
        <w:spacing w:after="0" w:line="87" w:lineRule="exact"/>
        <w:rPr>
          <w:rFonts w:ascii="Times New Roman" w:cs="Times New Roman" w:eastAsia="Times New Roman" w:hAnsi="Times New Roman"/>
          <w:sz w:val="18"/>
          <w:szCs w:val="18"/>
          <w:color w:val="auto"/>
        </w:rPr>
      </w:pPr>
    </w:p>
    <w:p>
      <w:pPr>
        <w:ind w:left="1800" w:right="719" w:hanging="178"/>
        <w:spacing w:after="0" w:line="259"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iModel distributed databases</w:t>
      </w:r>
      <w:r>
        <w:rPr>
          <w:rFonts w:ascii="Times New Roman" w:cs="Times New Roman" w:eastAsia="Times New Roman" w:hAnsi="Times New Roman"/>
          <w:sz w:val="18"/>
          <w:szCs w:val="18"/>
          <w:color w:val="auto"/>
        </w:rPr>
        <w:t>, which combine and align the digital components from all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sources for infrastructure projects and/or assets. iModels are created and bridged to our iTwins cloud services from our own engineering applications or from third-party applications. Using our iModel distributed databases, “dark data” is opened and aligned semantically and spatially with all other relevant models, allowing this information to be accessed and for its value to be enhanced; and</w:t>
      </w:r>
    </w:p>
    <w:p>
      <w:pPr>
        <w:spacing w:after="0" w:line="71"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iTwins cloud services</w:t>
      </w:r>
      <w:r>
        <w:rPr>
          <w:rFonts w:ascii="Times New Roman" w:cs="Times New Roman" w:eastAsia="Times New Roman" w:hAnsi="Times New Roman"/>
          <w:sz w:val="18"/>
          <w:szCs w:val="18"/>
          <w:color w:val="auto"/>
        </w:rPr>
        <w:t>, which update distributed databases through change ledgers to synchronize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twins, as required, with physical and engineering changes. Along with assuring that their fidelity can be relied upon for critical decisions, our iTwins cloud services maintain secure environments for infrastructure digital twins’ visualization and analytics visibility. Our iTwin services can be added to any user’s or accounts’ environments to generate incremental value by incorporating infrastructure engineering data within cloud-native evergreen digital twins. The go-to-market strategy for our iTwin cloud services is based on a dual-pronged sales strategy:</w:t>
      </w:r>
    </w:p>
    <w:p>
      <w:pPr>
        <w:spacing w:after="0" w:line="92" w:lineRule="exact"/>
        <w:rPr>
          <w:rFonts w:ascii="Times New Roman" w:cs="Times New Roman" w:eastAsia="Times New Roman" w:hAnsi="Times New Roman"/>
          <w:sz w:val="18"/>
          <w:szCs w:val="18"/>
          <w:color w:val="auto"/>
        </w:rPr>
      </w:pPr>
    </w:p>
    <w:p>
      <w:pPr>
        <w:ind w:left="2160" w:right="739" w:hanging="178"/>
        <w:spacing w:after="0" w:line="266" w:lineRule="auto"/>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enterprise accounts using ProjectWise and AssetWise, to more broadly propagate their project and asset engineering data, respectively, through iTwins Design Review Service for comprehensive project-wide 4D status visibility, Immersive Asset Services, and PlantSight; and</w:t>
      </w:r>
    </w:p>
    <w:p>
      <w:pPr>
        <w:spacing w:after="0" w:line="67" w:lineRule="exact"/>
        <w:rPr>
          <w:rFonts w:ascii="Times New Roman" w:cs="Times New Roman" w:eastAsia="Times New Roman" w:hAnsi="Times New Roman"/>
          <w:sz w:val="18"/>
          <w:szCs w:val="18"/>
          <w:color w:val="auto"/>
        </w:rPr>
      </w:pPr>
    </w:p>
    <w:p>
      <w:pPr>
        <w:ind w:left="2160" w:right="1339" w:hanging="178"/>
        <w:spacing w:after="0" w:line="282" w:lineRule="auto"/>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individual practitioners and their workgroups for ad-hoc iTwins Design Review Service, often to upgrade their use of 2D PDF tools to 3D.</w:t>
      </w:r>
    </w:p>
    <w:p>
      <w:pPr>
        <w:spacing w:after="0" w:line="81"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growing adoption of infrastructure digital twins will serve to overcome the factors that have held back the digital advancement of infrastructure engineering. Moreover, we believe that due to the comprehensiveness of our solutions across project and asset lifecycles, infrastructure digital twins and</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79"/>
        <w:spacing w:after="0" w:line="266" w:lineRule="auto"/>
        <w:rPr>
          <w:sz w:val="20"/>
          <w:szCs w:val="20"/>
          <w:color w:val="auto"/>
        </w:rPr>
      </w:pPr>
      <w:r>
        <w:rPr>
          <w:rFonts w:ascii="Times New Roman" w:cs="Times New Roman" w:eastAsia="Times New Roman" w:hAnsi="Times New Roman"/>
          <w:sz w:val="18"/>
          <w:szCs w:val="18"/>
          <w:color w:val="auto"/>
        </w:rPr>
        <w:t>newly enabled digital workflows spanning design, construction, and operations, will most particularly benefit our users and enhance our competitiveness.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SAM. We estimate 66% of our SAM is in our existing accounts. We further estimate our global SAM is approximately $9.5 billion, $6.1 billion of which is attributable to project delivery firms and $ 3.4 billion of which is attributable to owner-operators. Further, of our $9.5 billion SAM, approximately $1.6 billion is in Greater China.</w:t>
      </w:r>
    </w:p>
    <w:p>
      <w:pPr>
        <w:spacing w:after="0" w:line="116"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also view our market opportunity in terms of the TAM, which we believe we can address over the long term. We believe that digital progress in the engineering of constructed infrastructure has to date lagged behind other substantial economic domains and, in particular, has lagged behind digital progress — as reflected in spending on engineering software — in the engineering of manufactured products.</w:t>
      </w:r>
    </w:p>
    <w:p>
      <w:pPr>
        <w:spacing w:after="0" w:line="113"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Over time, as project delivery firms and owner-operators increasingly recognize the value of going digital and increase their spending on infrastructure engineering software solutions, we believe that the “intensity” of infrastructure engineering software spending will approach the “intensity” of product engineering software spending, as measured by spend per engineer (or engineering technician, in each case).</w:t>
      </w:r>
    </w:p>
    <w:p>
      <w:pPr>
        <w:spacing w:after="0" w:line="100"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Cambashi quantifies our TAM as what would be the total spend for infrastructure engineering software solutions if the intensity of infrastructure engineering software spending would become equivalent to that of product engineering software spending. This TAM value is derived by banding countries by intensity of product engineering software spend, and multiplying average product engineering software spend levels per product engineer (or product engineering technician) by the total number of infrastructure engineers (and infrastructure engineering technicians) for each respective band. In 2018, global infrastructure engineering spend for an estimated 22.5 million engineers totaled $8.3 billion. In the same year, global product engineering total spend for an estimated 11.1 million engineers totaled $13.9 billion.</w:t>
      </w:r>
    </w:p>
    <w:p>
      <w:pPr>
        <w:spacing w:after="0" w:line="120"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Cambashi accordingly estimates that if engineering software spending would become as intensive per engineer (or engineering technician) in infrastructure engineering as in product engineering, global infrastructure engineering software spending would be $29.2 billion. We believe that over time our current SAM of $9.5 billion will approach this estimated TAM of $29.2 billion. We also believe that both our SAM and our TAM will further expand over time with the growth of infrastructure spending.</w:t>
      </w:r>
    </w:p>
    <w:p>
      <w:pPr>
        <w:spacing w:after="0" w:line="117"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In order to estimate our SAM of $6.1 billion for project delivery accounts, we consider both project delivery organizations whose design and construction billings are reported to and published by ENR in addition to smaller project delivery organizations that do not have billings reported and published by such an organization. We estimate that the SAM for the larger project delivery accounts that have billings reported and published by ENR is currently approximately $3.4 billion.</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the SAM for the smaller project delivery accounts is currently approximately</w:t>
      </w:r>
    </w:p>
    <w:p>
      <w:pPr>
        <w:spacing w:after="0" w:line="16"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$2.7 billion. Our calculation of the metric for the larger project delivery accounts that have billings reported to and published by ENR is based on the percentage of ARR/billings we capture from these larger accounts relative to the total billings from these accounts based on data reported to and published by ENR. This method results in a penetration rate that we apply across all of the accounts published by ENR. We use this same penetration rate to estimate the SAM for smaller project delivery organizations that do not report or publish billings in ENR.</w:t>
      </w:r>
    </w:p>
    <w:p>
      <w:pPr>
        <w:spacing w:after="0" w:line="3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 order to estimate our SAM of $3.4 billion for owner-operator accounts, we consider both larger owner-operators that are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in addition to smaller owner-operators that are not included in our list. We estimate that the SAM for the larger owner-operator accounts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is currently approximately</w:t>
      </w:r>
    </w:p>
    <w:p>
      <w:pPr>
        <w:spacing w:after="0" w:line="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 xml:space="preserve">$1.6 billion. We estimate that the SAM for smaller owner- operators not included in the list of </w:t>
      </w:r>
      <w:r>
        <w:rPr>
          <w:rFonts w:ascii="Times New Roman" w:cs="Times New Roman" w:eastAsia="Times New Roman" w:hAnsi="Times New Roman"/>
          <w:sz w:val="18"/>
          <w:szCs w:val="18"/>
          <w:i w:val="1"/>
          <w:iCs w:val="1"/>
          <w:color w:val="auto"/>
        </w:rPr>
        <w:t>Bentley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Top 500 Owners </w:t>
      </w:r>
      <w:r>
        <w:rPr>
          <w:rFonts w:ascii="Times New Roman" w:cs="Times New Roman" w:eastAsia="Times New Roman" w:hAnsi="Times New Roman"/>
          <w:sz w:val="18"/>
          <w:szCs w:val="18"/>
          <w:color w:val="auto"/>
        </w:rPr>
        <w:t>is currently approximately $1.8 billion. Our calculation of this metric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the percentage of ARR/billings we capture from these larger accounts relative to the net infrastructure asset value of the accounts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This results in a</w:t>
      </w:r>
    </w:p>
    <w:p>
      <w:pPr>
        <w:spacing w:after="0" w:line="200" w:lineRule="exact"/>
        <w:rPr>
          <w:sz w:val="20"/>
          <w:szCs w:val="20"/>
          <w:color w:val="auto"/>
        </w:r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819"/>
        <w:spacing w:after="0" w:line="267" w:lineRule="auto"/>
        <w:rPr>
          <w:sz w:val="20"/>
          <w:szCs w:val="20"/>
          <w:color w:val="auto"/>
        </w:rPr>
      </w:pPr>
      <w:r>
        <w:rPr>
          <w:rFonts w:ascii="Times New Roman" w:cs="Times New Roman" w:eastAsia="Times New Roman" w:hAnsi="Times New Roman"/>
          <w:sz w:val="18"/>
          <w:szCs w:val="18"/>
          <w:color w:val="auto"/>
        </w:rPr>
        <w:t xml:space="preserve">penetration rate that we apply across all of the larger accounts included in the list of </w:t>
      </w:r>
      <w:r>
        <w:rPr>
          <w:rFonts w:ascii="Times New Roman" w:cs="Times New Roman" w:eastAsia="Times New Roman" w:hAnsi="Times New Roman"/>
          <w:sz w:val="18"/>
          <w:szCs w:val="18"/>
          <w:i w:val="1"/>
          <w:iCs w:val="1"/>
          <w:color w:val="auto"/>
        </w:rPr>
        <w:t>Bentley Infrastructure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 500 Owners</w:t>
      </w:r>
      <w:r>
        <w:rPr>
          <w:rFonts w:ascii="Times New Roman" w:cs="Times New Roman" w:eastAsia="Times New Roman" w:hAnsi="Times New Roman"/>
          <w:sz w:val="18"/>
          <w:szCs w:val="18"/>
          <w:color w:val="auto"/>
        </w:rPr>
        <w:t>. We use this same penetration rate to estimate the SAM for smaller owner-operators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Over time, we believe our SAM and TAM will expand from increased infrastructure spending. Moreover, in Asia, where the Oxford Economics Outlook estimates a majority of infrastructure spending occurs already and expects spending to increase through 2040, digital twin approaches are now being pursued to rapidly supersede traditional workflows institutionalized elsewhere in the world. In fact, in our 2019 Year in Infrastructure awards, the winners for 15 of 26 categories, judged by independent juries of global experts, were projects in China, India, Pakistan, and Southeast Asia, where we see spending on digital solutions accelerating faster than in other parts of the world.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50" w:lineRule="exact"/>
        <w:rPr>
          <w:sz w:val="20"/>
          <w:szCs w:val="20"/>
          <w:color w:val="auto"/>
        </w:rPr>
      </w:pPr>
    </w:p>
    <w:p>
      <w:pPr>
        <w:ind w:left="1800" w:right="799" w:hanging="178"/>
        <w:spacing w:after="0" w:line="26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Most of our accounts currently use a small portion of our overall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even though they are often working on projects and assets where a large portion of our portfolio could be applied. We believe we can further penetrate our existing accounts by broadening their use of our portfolio. There are three primary mechanisms for this expansion:</w:t>
      </w:r>
    </w:p>
    <w:p>
      <w:pPr>
        <w:spacing w:after="0" w:line="70" w:lineRule="exact"/>
        <w:rPr>
          <w:rFonts w:ascii="Times New Roman" w:cs="Times New Roman" w:eastAsia="Times New Roman" w:hAnsi="Times New Roman"/>
          <w:sz w:val="18"/>
          <w:szCs w:val="18"/>
          <w:color w:val="auto"/>
        </w:rPr>
      </w:pPr>
    </w:p>
    <w:p>
      <w:pPr>
        <w:ind w:left="2160" w:right="799" w:hanging="178"/>
        <w:spacing w:after="0" w:line="257"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the use of our software to the needs of our users. Presently, we offer our subscription solutions by the day, month, quarter and year. Additionally, we offer options enabling unrestricted access to our comprehensive software portfolio. We believe the flexibility in our commercial models and deployment options will allow our accounts to grow usage continuously;</w:t>
      </w:r>
    </w:p>
    <w:p>
      <w:pPr>
        <w:spacing w:after="0" w:line="295" w:lineRule="exact"/>
        <w:rPr>
          <w:rFonts w:ascii="Times New Roman" w:cs="Times New Roman" w:eastAsia="Times New Roman" w:hAnsi="Times New Roman"/>
          <w:sz w:val="18"/>
          <w:szCs w:val="18"/>
          <w:color w:val="auto"/>
        </w:rPr>
      </w:pPr>
    </w:p>
    <w:p>
      <w:pPr>
        <w:ind w:left="2160" w:right="739" w:hanging="178"/>
        <w:spacing w:after="0" w:line="258"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technologies help to automate the user experience and drive engagement by suggesting and recommending best practices and appropriate software upgrades. We will continue to leverage these interactive technologies to virtually assist our users and drive engagement across our software offerings; and</w:t>
      </w:r>
    </w:p>
    <w:p>
      <w:pPr>
        <w:spacing w:after="0" w:line="75" w:lineRule="exact"/>
        <w:rPr>
          <w:rFonts w:ascii="Times New Roman" w:cs="Times New Roman" w:eastAsia="Times New Roman" w:hAnsi="Times New Roman"/>
          <w:sz w:val="18"/>
          <w:szCs w:val="18"/>
          <w:color w:val="auto"/>
        </w:rPr>
      </w:pPr>
    </w:p>
    <w:p>
      <w:pPr>
        <w:ind w:left="2160" w:right="719" w:hanging="178"/>
        <w:spacing w:after="0" w:line="254"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Adding new offerings. </w:t>
      </w:r>
      <w:r>
        <w:rPr>
          <w:rFonts w:ascii="Times New Roman" w:cs="Times New Roman" w:eastAsia="Times New Roman" w:hAnsi="Times New Roman"/>
          <w:sz w:val="18"/>
          <w:szCs w:val="18"/>
          <w:color w:val="auto"/>
        </w:rPr>
        <w:t>We have a history of building and maintaining leadership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software engineering comprehensiveness and intend to continue to innovate and develop our software offerings. Selected recent examples of our product innovations include the 2019 introduction of new multi-disciplinary modeling and simulation applications for 5G-ready communications towers and for offshore wind turbines, and the 2019 integration of our acquisitions of new software for vehicle traffic simulation and mobile mapping. Over the near term, we believe our iTwins Cloud Services represent a compelling opportunity to enhance value for our accounts. We intend to continue to develop and integrate new products and capabilities over time;</w:t>
      </w:r>
    </w:p>
    <w:p>
      <w:pPr>
        <w:spacing w:after="0" w:line="297" w:lineRule="exact"/>
        <w:rPr>
          <w:rFonts w:ascii="Times New Roman" w:cs="Times New Roman" w:eastAsia="Times New Roman" w:hAnsi="Times New Roman"/>
          <w:sz w:val="18"/>
          <w:szCs w:val="18"/>
          <w:color w:val="auto"/>
        </w:rPr>
      </w:pPr>
    </w:p>
    <w:p>
      <w:pPr>
        <w:ind w:left="1800" w:right="819" w:hanging="178"/>
        <w:spacing w:after="0" w:line="25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foreseeable future. According to the Oxford Economics Outlook, a majority of expected infrastructure spending for the period between 2016 and 2040 is expected to occur in Asia. Additionally, we believe that in Asia there is an abundance of skilled engineers whose work can be virtually exported, as well as engineering organizations that are eager and aggressive to win mandates for engineering and construction projects around the world. We intend to continue investing in strategies to enhance our market position in Asia;</w:t>
      </w:r>
    </w:p>
    <w:p>
      <w:pPr>
        <w:spacing w:after="0" w:line="74"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inside sales. </w:t>
      </w:r>
      <w:r>
        <w:rPr>
          <w:rFonts w:ascii="Times New Roman" w:cs="Times New Roman" w:eastAsia="Times New Roman" w:hAnsi="Times New Roman"/>
          <w:sz w:val="18"/>
          <w:szCs w:val="18"/>
          <w:color w:val="auto"/>
        </w:rPr>
        <w:t>Historically, our account management resources have focused on larger firms.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Smaller and medium-sized engineering firms, however, represent a significant market opportunity and have the same needs for our comprehensive portfolio as the larger firms. While these firms have generally been served by our competitors’ channel partners, we believe they will prefer to deal directly with us. We will continue to expand our global inside sales resources and to multiply their reach and effectiveness with superior digital tools to convert leads and to provide the self-service administration that engineering practitioners prefer; and</w:t>
      </w:r>
    </w:p>
    <w:p>
      <w:pPr>
        <w:sectPr>
          <w:pgSz w:w="11900" w:h="16838" w:orient="portrait"/>
          <w:cols w:equalWidth="0" w:num="1">
            <w:col w:w="10139"/>
          </w:cols>
          <w:pgMar w:left="320" w:top="114"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right="1079" w:hanging="178"/>
        <w:spacing w:after="0" w:line="268"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engineering supply chain, primarily to jointly develop and offer digital twin cloud services that extend the scope of our software. These alliances include:</w:t>
      </w:r>
    </w:p>
    <w:p>
      <w:pPr>
        <w:spacing w:after="0" w:line="66" w:lineRule="exact"/>
        <w:rPr>
          <w:rFonts w:ascii="Times New Roman" w:cs="Times New Roman" w:eastAsia="Times New Roman" w:hAnsi="Times New Roman"/>
          <w:sz w:val="18"/>
          <w:szCs w:val="18"/>
          <w:color w:val="auto"/>
        </w:rPr>
      </w:pPr>
    </w:p>
    <w:p>
      <w:pPr>
        <w:ind w:left="2160" w:right="819" w:hanging="178"/>
        <w:spacing w:after="0" w:line="263"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Siemens: Our partnership integrates leading industrial software and IoT capabilities for a broad joint development program focused on improving outcomes during infrastructure operations and maintenance through digital workflows enabled by digital twins cloud services; and</w:t>
      </w:r>
    </w:p>
    <w:p>
      <w:pPr>
        <w:spacing w:after="0" w:line="291" w:lineRule="exact"/>
        <w:rPr>
          <w:rFonts w:ascii="Times New Roman" w:cs="Times New Roman" w:eastAsia="Times New Roman" w:hAnsi="Times New Roman"/>
          <w:sz w:val="18"/>
          <w:szCs w:val="18"/>
          <w:color w:val="auto"/>
        </w:rPr>
      </w:pPr>
    </w:p>
    <w:p>
      <w:pPr>
        <w:ind w:left="2160" w:right="999" w:hanging="178"/>
        <w:spacing w:after="0" w:line="282"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Our partnership extends Azure-powered machine learning and analytics through digital workflows for infrastructure professionals and enterprises.</w:t>
      </w:r>
    </w:p>
    <w:p>
      <w:pPr>
        <w:spacing w:after="0" w:line="63" w:lineRule="exact"/>
        <w:rPr>
          <w:rFonts w:ascii="Times New Roman" w:cs="Times New Roman" w:eastAsia="Times New Roman" w:hAnsi="Times New Roman"/>
          <w:sz w:val="18"/>
          <w:szCs w:val="18"/>
          <w:color w:val="auto"/>
        </w:rPr>
      </w:pPr>
    </w:p>
    <w:p>
      <w:pPr>
        <w:ind w:left="1800" w:right="819" w:hanging="178"/>
        <w:spacing w:after="0" w:line="259"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intend to invest in and grow a portfolio of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outside of our core software business with the objective of cultivating an ecosystem of relatively service-intensive, digital integrator businesses that stimulate pull-through demand for our solutions. These investments may take the form of acquisitions, wholly owned start-up initiatives, minority equity stakes, alliances or loans. Certain of our recent digital integrator activities include:</w:t>
      </w:r>
    </w:p>
    <w:p>
      <w:pPr>
        <w:spacing w:after="0" w:line="75" w:lineRule="exact"/>
        <w:rPr>
          <w:rFonts w:ascii="Times New Roman" w:cs="Times New Roman" w:eastAsia="Times New Roman" w:hAnsi="Times New Roman"/>
          <w:sz w:val="18"/>
          <w:szCs w:val="18"/>
          <w:color w:val="auto"/>
        </w:rPr>
      </w:pPr>
    </w:p>
    <w:p>
      <w:pPr>
        <w:ind w:left="2160" w:right="719" w:hanging="178"/>
        <w:spacing w:after="0" w:line="258"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Construction Works: Our partnership with Topcon Positioning Systems integrates leading surveying technologies and geospatial machine control technologies for digital workflows between engineering and usage in the field. Our companies’ Digital Construction Works joint venture provides expert services to major project delivery enterprises to incorporate these constructioneering workflows.</w:t>
      </w:r>
    </w:p>
    <w:p>
      <w:pPr>
        <w:spacing w:after="0" w:line="75" w:lineRule="exact"/>
        <w:rPr>
          <w:rFonts w:ascii="Times New Roman" w:cs="Times New Roman" w:eastAsia="Times New Roman" w:hAnsi="Times New Roman"/>
          <w:sz w:val="18"/>
          <w:szCs w:val="18"/>
          <w:color w:val="auto"/>
        </w:rPr>
      </w:pPr>
    </w:p>
    <w:p>
      <w:pPr>
        <w:ind w:left="2160" w:right="939" w:hanging="178"/>
        <w:spacing w:after="0" w:line="266"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Cohesive Companies: These investments, spawned by our acquisition of Cohesive Solutions in 2020, focus on enterprise asset management, asset performance, and digital twin integration services.</w:t>
      </w:r>
    </w:p>
    <w:p>
      <w:pPr>
        <w:spacing w:after="0" w:line="81" w:lineRule="exact"/>
        <w:rPr>
          <w:rFonts w:ascii="Times New Roman" w:cs="Times New Roman" w:eastAsia="Times New Roman" w:hAnsi="Times New Roman"/>
          <w:sz w:val="18"/>
          <w:szCs w:val="18"/>
          <w:color w:val="auto"/>
        </w:rPr>
      </w:pPr>
    </w:p>
    <w:p>
      <w:pPr>
        <w:ind w:left="2160" w:right="1019" w:hanging="178"/>
        <w:spacing w:after="0" w:line="266"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Water Works: This wholly-owned start-up initiative focuses on the implementation, integration and adoption services necessary to establish digital twin solutions for water and waste water utilities.</w:t>
      </w:r>
    </w:p>
    <w:p>
      <w:pPr>
        <w:spacing w:after="0" w:line="9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anticipate each of the foregoing digital integrator businesses will become part of our Acceleration Fund portfolio of investments, which we expect to establish and operate distinctly inside of Bentley Systems, Incorporated.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Software Offerings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software products’ development and go-to-market strategy are organized within Design Integration applications and Project Delivery systems (for project lifecycles), and Asset and Network Performance systems and Digital Cities applications (for asset lifecycles), all supplemented and brought together with our digital twins (“iTwins”) cloud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108585</wp:posOffset>
            </wp:positionV>
            <wp:extent cx="4740275" cy="20999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40275" cy="20999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Design Integration Applications</w:t>
      </w:r>
    </w:p>
    <w:p>
      <w:pPr>
        <w:spacing w:after="0" w:line="148" w:lineRule="exact"/>
        <w:rPr>
          <w:sz w:val="20"/>
          <w:szCs w:val="20"/>
          <w:color w:val="auto"/>
        </w:rPr>
      </w:pPr>
    </w:p>
    <w:p>
      <w:pPr>
        <w:ind w:left="1260" w:right="1499" w:firstLine="360"/>
        <w:spacing w:after="0" w:line="282" w:lineRule="auto"/>
        <w:rPr>
          <w:sz w:val="20"/>
          <w:szCs w:val="20"/>
          <w:color w:val="auto"/>
        </w:rPr>
      </w:pPr>
      <w:r>
        <w:rPr>
          <w:rFonts w:ascii="Times New Roman" w:cs="Times New Roman" w:eastAsia="Times New Roman" w:hAnsi="Times New Roman"/>
          <w:sz w:val="18"/>
          <w:szCs w:val="18"/>
          <w:color w:val="auto"/>
        </w:rPr>
        <w:t>We undertake to provide comprehensive open modeling and open simulation applications for infrastructure design integration. Our open modeling applications include:</w:t>
      </w:r>
    </w:p>
    <w:p>
      <w:pPr>
        <w:spacing w:after="0" w:line="65" w:lineRule="exact"/>
        <w:rPr>
          <w:sz w:val="20"/>
          <w:szCs w:val="20"/>
          <w:color w:val="auto"/>
        </w:rPr>
      </w:pPr>
    </w:p>
    <w:p>
      <w:pPr>
        <w:ind w:left="1800" w:right="1599" w:hanging="178"/>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MicroStation</w:t>
      </w:r>
      <w:r>
        <w:rPr>
          <w:rFonts w:ascii="Times New Roman" w:cs="Times New Roman" w:eastAsia="Times New Roman" w:hAnsi="Times New Roman"/>
          <w:sz w:val="18"/>
          <w:szCs w:val="18"/>
          <w:color w:val="auto"/>
        </w:rPr>
        <w:t>, for flexible 3D design and documentation providing the common modeling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upon which our applications are built;</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OpenRoads</w:t>
      </w:r>
      <w:r>
        <w:rPr>
          <w:rFonts w:ascii="Times New Roman" w:cs="Times New Roman" w:eastAsia="Times New Roman" w:hAnsi="Times New Roman"/>
          <w:sz w:val="18"/>
          <w:szCs w:val="18"/>
          <w:color w:val="auto"/>
        </w:rPr>
        <w:t>, for the planning, 3D design, and documentation of roads and highways;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OpenRail</w:t>
      </w:r>
      <w:r>
        <w:rPr>
          <w:rFonts w:ascii="Times New Roman" w:cs="Times New Roman" w:eastAsia="Times New Roman" w:hAnsi="Times New Roman"/>
          <w:sz w:val="18"/>
          <w:szCs w:val="18"/>
          <w:color w:val="auto"/>
        </w:rPr>
        <w:t>, for the planning, 3D design, and documentation of rail and transit systems;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OpenPlant</w:t>
      </w:r>
      <w:r>
        <w:rPr>
          <w:rFonts w:ascii="Times New Roman" w:cs="Times New Roman" w:eastAsia="Times New Roman" w:hAnsi="Times New Roman"/>
          <w:sz w:val="18"/>
          <w:szCs w:val="18"/>
          <w:color w:val="auto"/>
        </w:rPr>
        <w:t>, for the 2D and 3D design and documentation of process plants;</w:t>
      </w:r>
    </w:p>
    <w:p>
      <w:pPr>
        <w:spacing w:after="0" w:line="130" w:lineRule="exact"/>
        <w:rPr>
          <w:rFonts w:ascii="Times New Roman" w:cs="Times New Roman" w:eastAsia="Times New Roman" w:hAnsi="Times New Roman"/>
          <w:sz w:val="18"/>
          <w:szCs w:val="18"/>
          <w:color w:val="auto"/>
        </w:rPr>
      </w:pPr>
    </w:p>
    <w:p>
      <w:pPr>
        <w:ind w:left="1800" w:right="979" w:hanging="178"/>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OpenBuildings</w:t>
      </w:r>
      <w:r>
        <w:rPr>
          <w:rFonts w:ascii="Times New Roman" w:cs="Times New Roman" w:eastAsia="Times New Roman" w:hAnsi="Times New Roman"/>
          <w:sz w:val="18"/>
          <w:szCs w:val="18"/>
          <w:color w:val="auto"/>
        </w:rPr>
        <w:t>, for the 3D design, and documentation of buildings and their integrated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HVAC, electrical, and plumbing systems;</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OpenBridge</w:t>
      </w:r>
      <w:r>
        <w:rPr>
          <w:rFonts w:ascii="Times New Roman" w:cs="Times New Roman" w:eastAsia="Times New Roman" w:hAnsi="Times New Roman"/>
          <w:sz w:val="18"/>
          <w:szCs w:val="18"/>
          <w:color w:val="auto"/>
        </w:rPr>
        <w:t>, for the 3D design and documentation of bridges;</w:t>
      </w:r>
    </w:p>
    <w:p>
      <w:pPr>
        <w:spacing w:after="0" w:line="144" w:lineRule="exact"/>
        <w:rPr>
          <w:rFonts w:ascii="Times New Roman" w:cs="Times New Roman" w:eastAsia="Times New Roman" w:hAnsi="Times New Roman"/>
          <w:sz w:val="18"/>
          <w:szCs w:val="18"/>
          <w:color w:val="auto"/>
        </w:rPr>
      </w:pPr>
    </w:p>
    <w:p>
      <w:pPr>
        <w:ind w:left="1800" w:right="1599" w:hanging="178"/>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for the optimal planning, 3D design and documentation of building,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infrastructure sites;</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OpenWindPower</w:t>
      </w:r>
      <w:r>
        <w:rPr>
          <w:rFonts w:ascii="Times New Roman" w:cs="Times New Roman" w:eastAsia="Times New Roman" w:hAnsi="Times New Roman"/>
          <w:sz w:val="18"/>
          <w:szCs w:val="18"/>
          <w:color w:val="auto"/>
        </w:rPr>
        <w:t>, for the design of fixed and floating wind turbine structures;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w:t>
      </w:r>
      <w:r>
        <w:rPr>
          <w:rFonts w:ascii="Times New Roman" w:cs="Times New Roman" w:eastAsia="Times New Roman" w:hAnsi="Times New Roman"/>
          <w:sz w:val="18"/>
          <w:szCs w:val="18"/>
          <w:color w:val="auto"/>
        </w:rPr>
        <w:t>, for the design of communications towers, including for 5G capacity.</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open simulation applications include:</w:t>
      </w:r>
    </w:p>
    <w:p>
      <w:pPr>
        <w:spacing w:after="0" w:line="115" w:lineRule="exact"/>
        <w:rPr>
          <w:sz w:val="20"/>
          <w:szCs w:val="20"/>
          <w:color w:val="auto"/>
        </w:rPr>
      </w:pPr>
    </w:p>
    <w:p>
      <w:pPr>
        <w:ind w:left="1800" w:right="91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STAAD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RAM</w:t>
      </w:r>
      <w:r>
        <w:rPr>
          <w:rFonts w:ascii="Times New Roman" w:cs="Times New Roman" w:eastAsia="Times New Roman" w:hAnsi="Times New Roman"/>
          <w:sz w:val="18"/>
          <w:szCs w:val="18"/>
          <w:color w:val="auto"/>
        </w:rPr>
        <w:t>, for analysis and simulation respectively of infrastructure and building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RM</w:t>
      </w:r>
      <w:r>
        <w:rPr>
          <w:rFonts w:ascii="Times New Roman" w:cs="Times New Roman" w:eastAsia="Times New Roman" w:hAnsi="Times New Roman"/>
          <w:sz w:val="18"/>
          <w:szCs w:val="18"/>
          <w:color w:val="auto"/>
        </w:rPr>
        <w:t>, for analysis and simulation of bridge structural performance;</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SACS</w:t>
      </w:r>
      <w:r>
        <w:rPr>
          <w:rFonts w:ascii="Times New Roman" w:cs="Times New Roman" w:eastAsia="Times New Roman" w:hAnsi="Times New Roman"/>
          <w:sz w:val="18"/>
          <w:szCs w:val="18"/>
          <w:color w:val="auto"/>
        </w:rPr>
        <w:t>, for analysis and simulation of offshore structural performance;</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MOSES</w:t>
      </w:r>
      <w:r>
        <w:rPr>
          <w:rFonts w:ascii="Times New Roman" w:cs="Times New Roman" w:eastAsia="Times New Roman" w:hAnsi="Times New Roman"/>
          <w:sz w:val="18"/>
          <w:szCs w:val="18"/>
          <w:color w:val="auto"/>
        </w:rPr>
        <w:t>, for analysis and simulation of floating structures;</w:t>
      </w:r>
    </w:p>
    <w:p>
      <w:pPr>
        <w:spacing w:after="0" w:line="130" w:lineRule="exact"/>
        <w:rPr>
          <w:rFonts w:ascii="Times New Roman" w:cs="Times New Roman" w:eastAsia="Times New Roman" w:hAnsi="Times New Roman"/>
          <w:sz w:val="18"/>
          <w:szCs w:val="18"/>
          <w:color w:val="auto"/>
        </w:rPr>
      </w:pPr>
    </w:p>
    <w:p>
      <w:pPr>
        <w:ind w:left="1800" w:right="127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for geotechnical analysis and simulation of subsurface rock and soil interacting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foundations, footings, pilings, and tunnels;</w:t>
      </w:r>
    </w:p>
    <w:p>
      <w:pPr>
        <w:spacing w:after="0" w:line="77" w:lineRule="exact"/>
        <w:rPr>
          <w:rFonts w:ascii="Times New Roman" w:cs="Times New Roman" w:eastAsia="Times New Roman" w:hAnsi="Times New Roman"/>
          <w:sz w:val="18"/>
          <w:szCs w:val="18"/>
          <w:color w:val="auto"/>
        </w:rPr>
      </w:pPr>
    </w:p>
    <w:p>
      <w:pPr>
        <w:ind w:left="1800" w:right="105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SITEOPS</w:t>
      </w:r>
      <w:r>
        <w:rPr>
          <w:rFonts w:ascii="Times New Roman" w:cs="Times New Roman" w:eastAsia="Times New Roman" w:hAnsi="Times New Roman"/>
          <w:sz w:val="18"/>
          <w:szCs w:val="18"/>
          <w:color w:val="auto"/>
        </w:rPr>
        <w:t>, for simulation of compliant site layout, and optimization of earthworks, drainage,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parking;</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AutoPIPE</w:t>
      </w:r>
      <w:r>
        <w:rPr>
          <w:rFonts w:ascii="Times New Roman" w:cs="Times New Roman" w:eastAsia="Times New Roman" w:hAnsi="Times New Roman"/>
          <w:sz w:val="18"/>
          <w:szCs w:val="18"/>
          <w:color w:val="auto"/>
        </w:rPr>
        <w:t>, for analysis and simulation of pipe stress in industrial process plants;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for enlivened animations of infrastructure projects.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Project Delivery Systems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Project Delivery solutions support collaboration, work-sharing, and 4D construction modeling for infrastructure project delivery enterprises. These offerings include:</w:t>
      </w:r>
    </w:p>
    <w:p>
      <w:pPr>
        <w:spacing w:after="0" w:line="52" w:lineRule="exact"/>
        <w:rPr>
          <w:sz w:val="20"/>
          <w:szCs w:val="20"/>
          <w:color w:val="auto"/>
        </w:rPr>
      </w:pPr>
    </w:p>
    <w:p>
      <w:pPr>
        <w:ind w:left="1800" w:right="939" w:hanging="178"/>
        <w:spacing w:after="0" w:line="261"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for helping teams to manage, share, and distribute work-in-progress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content.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enables all stakeholders involved in design and engineering to share and find information, conduct collaborative design reviews, and manage contractual exchanges faster for maximum team productivity;</w:t>
      </w:r>
    </w:p>
    <w:p>
      <w:pPr>
        <w:spacing w:after="0" w:line="98" w:lineRule="exact"/>
        <w:rPr>
          <w:rFonts w:ascii="Times New Roman" w:cs="Times New Roman" w:eastAsia="Times New Roman" w:hAnsi="Times New Roman"/>
          <w:sz w:val="18"/>
          <w:szCs w:val="18"/>
          <w:color w:val="auto"/>
        </w:rPr>
      </w:pPr>
    </w:p>
    <w:p>
      <w:pPr>
        <w:ind w:left="1800" w:right="73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for planning 4D construction models for project and field management, work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immersive visualization, for instance via Microsoft HoloLens;</w:t>
      </w:r>
    </w:p>
    <w:p>
      <w:pPr>
        <w:spacing w:after="0" w:line="63" w:lineRule="exact"/>
        <w:rPr>
          <w:rFonts w:ascii="Times New Roman" w:cs="Times New Roman" w:eastAsia="Times New Roman" w:hAnsi="Times New Roman"/>
          <w:sz w:val="18"/>
          <w:szCs w:val="18"/>
          <w:color w:val="auto"/>
        </w:rPr>
      </w:pPr>
    </w:p>
    <w:p>
      <w:pPr>
        <w:ind w:left="1800" w:right="97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ConstructSim, </w:t>
      </w:r>
      <w:r>
        <w:rPr>
          <w:rFonts w:ascii="Times New Roman" w:cs="Times New Roman" w:eastAsia="Times New Roman" w:hAnsi="Times New Roman"/>
          <w:sz w:val="18"/>
          <w:szCs w:val="18"/>
          <w:color w:val="auto"/>
        </w:rPr>
        <w:t>for advanced work packaging, including engineering, construction,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work packages, and trade and task workface planning; and</w:t>
      </w:r>
    </w:p>
    <w:p>
      <w:pPr>
        <w:spacing w:after="0" w:line="63" w:lineRule="exact"/>
        <w:rPr>
          <w:rFonts w:ascii="Times New Roman" w:cs="Times New Roman" w:eastAsia="Times New Roman" w:hAnsi="Times New Roman"/>
          <w:sz w:val="18"/>
          <w:szCs w:val="18"/>
          <w:color w:val="auto"/>
        </w:rPr>
      </w:pPr>
    </w:p>
    <w:p>
      <w:pPr>
        <w:ind w:left="1800" w:right="149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cloud services for specialized project delivery use cases, including </w:t>
      </w:r>
      <w:r>
        <w:rPr>
          <w:rFonts w:ascii="Times New Roman" w:cs="Times New Roman" w:eastAsia="Times New Roman" w:hAnsi="Times New Roman"/>
          <w:sz w:val="18"/>
          <w:szCs w:val="18"/>
          <w:i w:val="1"/>
          <w:iCs w:val="1"/>
          <w:color w:val="auto"/>
        </w:rPr>
        <w:t>ComplyPro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ProcureWare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Control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Field</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14"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and Network Performance Systems</w:t>
      </w:r>
    </w:p>
    <w:p>
      <w:pPr>
        <w:spacing w:after="0" w:line="146" w:lineRule="exact"/>
        <w:rPr>
          <w:sz w:val="20"/>
          <w:szCs w:val="20"/>
          <w:color w:val="auto"/>
        </w:rPr>
      </w:pPr>
    </w:p>
    <w:p>
      <w:pPr>
        <w:ind w:left="1260" w:right="1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Asset and Network Performance solutions, including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manage geo-coordinated information for asset performance modeling throughout the operations and maintenance lifecycle of infrastructure assets and their associated networks, in transportation, energy, and communications. These offerings include:</w:t>
      </w:r>
    </w:p>
    <w:p>
      <w:pPr>
        <w:spacing w:after="0" w:line="72" w:lineRule="exact"/>
        <w:rPr>
          <w:sz w:val="20"/>
          <w:szCs w:val="20"/>
          <w:color w:val="auto"/>
        </w:rPr>
      </w:pPr>
    </w:p>
    <w:p>
      <w:pPr>
        <w:ind w:left="1800" w:right="145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ALIM</w:t>
      </w:r>
      <w:r>
        <w:rPr>
          <w:rFonts w:ascii="Times New Roman" w:cs="Times New Roman" w:eastAsia="Times New Roman" w:hAnsi="Times New Roman"/>
          <w:sz w:val="18"/>
          <w:szCs w:val="18"/>
          <w:color w:val="auto"/>
        </w:rPr>
        <w:t>, for managing infrastructure asset information and linear networks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and managing change over the asset lifecycle;</w:t>
      </w:r>
    </w:p>
    <w:p>
      <w:pPr>
        <w:spacing w:after="0" w:line="50" w:lineRule="exact"/>
        <w:rPr>
          <w:rFonts w:ascii="Times New Roman" w:cs="Times New Roman" w:eastAsia="Times New Roman" w:hAnsi="Times New Roman"/>
          <w:sz w:val="18"/>
          <w:szCs w:val="18"/>
          <w:color w:val="auto"/>
        </w:rPr>
      </w:pPr>
    </w:p>
    <w:p>
      <w:pPr>
        <w:ind w:left="1800" w:right="83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Asset Reliability</w:t>
      </w:r>
      <w:r>
        <w:rPr>
          <w:rFonts w:ascii="Times New Roman" w:cs="Times New Roman" w:eastAsia="Times New Roman" w:hAnsi="Times New Roman"/>
          <w:sz w:val="18"/>
          <w:szCs w:val="18"/>
          <w:color w:val="auto"/>
        </w:rPr>
        <w:t>, for reducing equipment downtime and limiting business risk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equipment failures, while increasing safety, reliability, and cost effectiveness;</w:t>
      </w:r>
    </w:p>
    <w:p>
      <w:pPr>
        <w:spacing w:after="0" w:line="50" w:lineRule="exact"/>
        <w:rPr>
          <w:rFonts w:ascii="Times New Roman" w:cs="Times New Roman" w:eastAsia="Times New Roman" w:hAnsi="Times New Roman"/>
          <w:sz w:val="18"/>
          <w:szCs w:val="18"/>
          <w:color w:val="auto"/>
        </w:rPr>
      </w:pPr>
    </w:p>
    <w:p>
      <w:pPr>
        <w:ind w:left="1800" w:right="83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for enabling access to multiple data sources from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and integrating them in operations and maintenance workflows;</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SUPERLOAD, </w:t>
      </w:r>
      <w:r>
        <w:rPr>
          <w:rFonts w:ascii="Times New Roman" w:cs="Times New Roman" w:eastAsia="Times New Roman" w:hAnsi="Times New Roman"/>
          <w:sz w:val="18"/>
          <w:szCs w:val="18"/>
          <w:color w:val="auto"/>
        </w:rPr>
        <w:t>for automating the safe routing and permitting of overweight/oversized vehicles;</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4D Analytics</w:t>
      </w:r>
      <w:r>
        <w:rPr>
          <w:rFonts w:ascii="Times New Roman" w:cs="Times New Roman" w:eastAsia="Times New Roman" w:hAnsi="Times New Roman"/>
          <w:sz w:val="18"/>
          <w:szCs w:val="18"/>
          <w:color w:val="auto"/>
        </w:rPr>
        <w:t>, for employing advanced analytics and machine learning, particularly to IoT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series, to gather insights to understand current conditions and predict future performance;</w:t>
      </w:r>
    </w:p>
    <w:p>
      <w:pPr>
        <w:spacing w:after="0" w:line="50" w:lineRule="exact"/>
        <w:rPr>
          <w:rFonts w:ascii="Times New Roman" w:cs="Times New Roman" w:eastAsia="Times New Roman" w:hAnsi="Times New Roman"/>
          <w:sz w:val="18"/>
          <w:szCs w:val="18"/>
          <w:color w:val="auto"/>
        </w:rPr>
      </w:pPr>
    </w:p>
    <w:p>
      <w:pPr>
        <w:jc w:val="both"/>
        <w:ind w:left="1800" w:right="77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Linear Analytics</w:t>
      </w:r>
      <w:r>
        <w:rPr>
          <w:rFonts w:ascii="Times New Roman" w:cs="Times New Roman" w:eastAsia="Times New Roman" w:hAnsi="Times New Roman"/>
          <w:sz w:val="18"/>
          <w:szCs w:val="18"/>
          <w:color w:val="auto"/>
        </w:rPr>
        <w:t>, for visualizing and understanding vast quantities of linear network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identify trends and anomalies, and optimize maintenance decisions, for rail or road networks; and</w:t>
      </w:r>
    </w:p>
    <w:p>
      <w:pPr>
        <w:spacing w:after="0" w:line="50" w:lineRule="exact"/>
        <w:rPr>
          <w:rFonts w:ascii="Times New Roman" w:cs="Times New Roman" w:eastAsia="Times New Roman" w:hAnsi="Times New Roman"/>
          <w:sz w:val="18"/>
          <w:szCs w:val="18"/>
          <w:color w:val="auto"/>
        </w:rPr>
      </w:pPr>
    </w:p>
    <w:p>
      <w:pPr>
        <w:ind w:left="1800" w:right="109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for the design and management of electric, gas, and district energy networks,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Digital Cities Applications</w:t>
      </w:r>
    </w:p>
    <w:p>
      <w:pPr>
        <w:spacing w:after="0" w:line="162"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Our Digital Cities offerings are used for surveying, reality modeling, planning, and managing the geospatial infrastructure of cities and regions. These offerings include:</w:t>
      </w:r>
    </w:p>
    <w:p>
      <w:pPr>
        <w:spacing w:after="0" w:line="52" w:lineRule="exact"/>
        <w:rPr>
          <w:sz w:val="20"/>
          <w:szCs w:val="20"/>
          <w:color w:val="auto"/>
        </w:rPr>
      </w:pPr>
    </w:p>
    <w:p>
      <w:pPr>
        <w:ind w:left="1800" w:right="739" w:hanging="178"/>
        <w:spacing w:after="0" w:line="267"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for surveying existing conditions of a city, construction site, or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 by processing digital imagery captured by UAVs, cameras, and scanners into 3D, geo-located, engineering-ready mesh models, and providing the digital context for digital twins;</w:t>
      </w:r>
    </w:p>
    <w:p>
      <w:pPr>
        <w:spacing w:after="0" w:line="65" w:lineRule="exact"/>
        <w:rPr>
          <w:rFonts w:ascii="Times New Roman" w:cs="Times New Roman" w:eastAsia="Times New Roman" w:hAnsi="Times New Roman"/>
          <w:sz w:val="18"/>
          <w:szCs w:val="18"/>
          <w:color w:val="auto"/>
        </w:rPr>
      </w:pPr>
    </w:p>
    <w:p>
      <w:pPr>
        <w:ind w:left="1800" w:right="79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 Insights</w:t>
      </w:r>
      <w:r>
        <w:rPr>
          <w:rFonts w:ascii="Times New Roman" w:cs="Times New Roman" w:eastAsia="Times New Roman" w:hAnsi="Times New Roman"/>
          <w:sz w:val="18"/>
          <w:szCs w:val="18"/>
          <w:color w:val="auto"/>
        </w:rPr>
        <w:t>, for applying machine learning, through cloud computing, to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classify recognizable components in reality modeling;</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Planner</w:t>
      </w:r>
      <w:r>
        <w:rPr>
          <w:rFonts w:ascii="Times New Roman" w:cs="Times New Roman" w:eastAsia="Times New Roman" w:hAnsi="Times New Roman"/>
          <w:sz w:val="18"/>
          <w:szCs w:val="18"/>
          <w:color w:val="auto"/>
        </w:rPr>
        <w:t>, for engineering-ready geospatial urban planning and visualization;</w:t>
      </w:r>
    </w:p>
    <w:p>
      <w:pPr>
        <w:spacing w:after="0" w:line="117" w:lineRule="exact"/>
        <w:rPr>
          <w:rFonts w:ascii="Times New Roman" w:cs="Times New Roman" w:eastAsia="Times New Roman" w:hAnsi="Times New Roman"/>
          <w:sz w:val="18"/>
          <w:szCs w:val="18"/>
          <w:color w:val="auto"/>
        </w:rPr>
      </w:pPr>
    </w:p>
    <w:p>
      <w:pPr>
        <w:ind w:left="1800" w:right="143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Map</w:t>
      </w:r>
      <w:r>
        <w:rPr>
          <w:rFonts w:ascii="Times New Roman" w:cs="Times New Roman" w:eastAsia="Times New Roman" w:hAnsi="Times New Roman"/>
          <w:sz w:val="18"/>
          <w:szCs w:val="18"/>
          <w:color w:val="auto"/>
        </w:rPr>
        <w:t>, for engineering-level GIS functions such as mapping, cadaster, and parcel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w:t>
      </w:r>
    </w:p>
    <w:p>
      <w:pPr>
        <w:spacing w:after="0" w:line="50" w:lineRule="exact"/>
        <w:rPr>
          <w:rFonts w:ascii="Times New Roman" w:cs="Times New Roman" w:eastAsia="Times New Roman" w:hAnsi="Times New Roman"/>
          <w:sz w:val="18"/>
          <w:szCs w:val="18"/>
          <w:color w:val="auto"/>
        </w:rPr>
      </w:pPr>
    </w:p>
    <w:p>
      <w:pPr>
        <w:ind w:left="1800" w:right="139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for water, wastewater, and stormwater system planning, design, and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hydrological, hydraulic, and flood modeling;</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OpenGround</w:t>
      </w:r>
      <w:r>
        <w:rPr>
          <w:rFonts w:ascii="Times New Roman" w:cs="Times New Roman" w:eastAsia="Times New Roman" w:hAnsi="Times New Roman"/>
          <w:sz w:val="18"/>
          <w:szCs w:val="18"/>
          <w:color w:val="auto"/>
        </w:rPr>
        <w:t>, for geotechnical information management;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for vehicular traffic simulation in roadway design;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LEGION</w:t>
      </w:r>
      <w:r>
        <w:rPr>
          <w:rFonts w:ascii="Times New Roman" w:cs="Times New Roman" w:eastAsia="Times New Roman" w:hAnsi="Times New Roman"/>
          <w:sz w:val="18"/>
          <w:szCs w:val="18"/>
          <w:color w:val="auto"/>
        </w:rPr>
        <w:t>, for pedestrian traffic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Applications and Systems Revenue Mix</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2019 revenues attributable to our applications and systems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128905</wp:posOffset>
            </wp:positionV>
            <wp:extent cx="4243070" cy="35579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243070" cy="355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hanging="358"/>
        <w:spacing w:after="0"/>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calculated using ASC 606.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iTwins Cloud Offerings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iTwins cloud offerings add digital twins capabilities to any account’s environment. These include:</w:t>
      </w:r>
    </w:p>
    <w:p>
      <w:pPr>
        <w:spacing w:after="0" w:line="115" w:lineRule="exact"/>
        <w:rPr>
          <w:sz w:val="20"/>
          <w:szCs w:val="20"/>
          <w:color w:val="auto"/>
        </w:rPr>
      </w:pPr>
    </w:p>
    <w:p>
      <w:pPr>
        <w:ind w:left="1800" w:right="699" w:hanging="178"/>
        <w:spacing w:after="0" w:line="267"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iTwins Design Review Service</w:t>
      </w:r>
      <w:r>
        <w:rPr>
          <w:rFonts w:ascii="Times New Roman" w:cs="Times New Roman" w:eastAsia="Times New Roman" w:hAnsi="Times New Roman"/>
          <w:sz w:val="18"/>
          <w:szCs w:val="18"/>
          <w:color w:val="auto"/>
        </w:rPr>
        <w:t>, for browser-level immersive status visualization, ranging from ad-hoc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2D/3D discipline-specific workflows for any applications users, to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-enabled 4D design reviews and analytics visibility spanning the full project scope;</w:t>
      </w:r>
    </w:p>
    <w:p>
      <w:pPr>
        <w:spacing w:after="0" w:line="5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Immersive Asset Service</w:t>
      </w:r>
      <w:r>
        <w:rPr>
          <w:rFonts w:ascii="Times New Roman" w:cs="Times New Roman" w:eastAsia="Times New Roman" w:hAnsi="Times New Roman"/>
          <w:sz w:val="18"/>
          <w:szCs w:val="18"/>
          <w:color w:val="auto"/>
        </w:rPr>
        <w:t>, for 4D immersive visualization and analytics visibility for</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users;</w:t>
      </w:r>
    </w:p>
    <w:p>
      <w:pPr>
        <w:spacing w:after="0" w:line="117" w:lineRule="exact"/>
        <w:rPr>
          <w:rFonts w:ascii="Times New Roman" w:cs="Times New Roman" w:eastAsia="Times New Roman" w:hAnsi="Times New Roman"/>
          <w:sz w:val="18"/>
          <w:szCs w:val="18"/>
          <w:color w:val="auto"/>
        </w:rPr>
      </w:pPr>
    </w:p>
    <w:p>
      <w:pPr>
        <w:jc w:val="both"/>
        <w:ind w:left="1800" w:right="939" w:hanging="178"/>
        <w:spacing w:after="0" w:line="284"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 Digital Twin Cloud Services</w:t>
      </w:r>
      <w:r>
        <w:rPr>
          <w:rFonts w:ascii="Times New Roman" w:cs="Times New Roman" w:eastAsia="Times New Roman" w:hAnsi="Times New Roman"/>
          <w:sz w:val="18"/>
          <w:szCs w:val="18"/>
          <w:color w:val="auto"/>
        </w:rPr>
        <w:t>, for consolidating, validating, and aligning GIS, reality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performance, simulation, and other data for energy and communications networks; and</w:t>
      </w:r>
    </w:p>
    <w:p>
      <w:pPr>
        <w:spacing w:after="0" w:line="50" w:lineRule="exact"/>
        <w:rPr>
          <w:rFonts w:ascii="Times New Roman" w:cs="Times New Roman" w:eastAsia="Times New Roman" w:hAnsi="Times New Roman"/>
          <w:sz w:val="18"/>
          <w:szCs w:val="18"/>
          <w:color w:val="auto"/>
        </w:rPr>
      </w:pPr>
    </w:p>
    <w:p>
      <w:pPr>
        <w:ind w:left="1800" w:right="1119" w:hanging="178"/>
        <w:spacing w:after="0" w:line="284"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PlantSight</w:t>
      </w:r>
      <w:r>
        <w:rPr>
          <w:rFonts w:ascii="Times New Roman" w:cs="Times New Roman" w:eastAsia="Times New Roman" w:hAnsi="Times New Roman"/>
          <w:sz w:val="18"/>
          <w:szCs w:val="18"/>
          <w:color w:val="auto"/>
        </w:rPr>
        <w:t>, for live and evergreen digital twins of operating process plants. PlantSight is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Bentley and Siemens and commercially available from either company.</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Cases</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Our applications and systems are used in combinations, in parallel and in sequence, for infrastructure projects and assets.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Project Lifecycle Use Case</w:t>
      </w:r>
    </w:p>
    <w:p>
      <w:pPr>
        <w:spacing w:after="0" w:line="160"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example illustrates the comprehensive use of our offerings in the planning, design, and construction of a new highway overpass to accommodate increased traffic at an intersection in a growing part of a city:</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the start of the project,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is set up for the project team as a structured repository for their engineering work and shared documents and models relevant to the overpass project. The physical conditions of the current roadway intersection are surveyed with drones and captured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to produce the accurate 3D model which will be the basis for the engineering work. For the planning of the overpass, </w:t>
      </w:r>
      <w:r>
        <w:rPr>
          <w:rFonts w:ascii="Times New Roman" w:cs="Times New Roman" w:eastAsia="Times New Roman" w:hAnsi="Times New Roman"/>
          <w:sz w:val="18"/>
          <w:szCs w:val="18"/>
          <w:i w:val="1"/>
          <w:iCs w:val="1"/>
          <w:color w:val="auto"/>
        </w:rPr>
        <w:t>OpenRoads ConceptStation</w:t>
      </w:r>
      <w:r>
        <w:rPr>
          <w:rFonts w:ascii="Times New Roman" w:cs="Times New Roman" w:eastAsia="Times New Roman" w:hAnsi="Times New Roman"/>
          <w:sz w:val="18"/>
          <w:szCs w:val="18"/>
          <w:color w:val="auto"/>
        </w:rPr>
        <w:t xml:space="preserve"> enables the roadway designers to quickly iterate on different overpass configurations and get preliminary estimates of the construction costs of various scenarios. </w:t>
      </w: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is used by geotechnical engineers for modeling the geotechnical properties of the site to ensure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subsurface conditions for the roadway and overpass are accurately considered in the proposed design. Visualizations and animation of the proposed design alternatives are generated by </w:t>
      </w: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xml:space="preserve"> for city and community reviews and approvals.</w:t>
      </w:r>
    </w:p>
    <w:p>
      <w:pPr>
        <w:spacing w:after="0" w:line="32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When the preliminary design is approved,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begins to produce the detailed design of the ramps and roadway directly from the </w:t>
      </w:r>
      <w:r>
        <w:rPr>
          <w:rFonts w:ascii="Times New Roman" w:cs="Times New Roman" w:eastAsia="Times New Roman" w:hAnsi="Times New Roman"/>
          <w:sz w:val="18"/>
          <w:szCs w:val="18"/>
          <w:i w:val="1"/>
          <w:iCs w:val="1"/>
          <w:color w:val="auto"/>
        </w:rPr>
        <w:t>ConceptStation</w:t>
      </w:r>
      <w:r>
        <w:rPr>
          <w:rFonts w:ascii="Times New Roman" w:cs="Times New Roman" w:eastAsia="Times New Roman" w:hAnsi="Times New Roman"/>
          <w:sz w:val="18"/>
          <w:szCs w:val="18"/>
          <w:color w:val="auto"/>
        </w:rPr>
        <w:t xml:space="preserve"> files. Bridge engineers use </w:t>
      </w:r>
      <w:r>
        <w:rPr>
          <w:rFonts w:ascii="Times New Roman" w:cs="Times New Roman" w:eastAsia="Times New Roman" w:hAnsi="Times New Roman"/>
          <w:sz w:val="18"/>
          <w:szCs w:val="18"/>
          <w:i w:val="1"/>
          <w:iCs w:val="1"/>
          <w:color w:val="auto"/>
        </w:rPr>
        <w:t>OpenBridge Modeler</w:t>
      </w:r>
      <w:r>
        <w:rPr>
          <w:rFonts w:ascii="Times New Roman" w:cs="Times New Roman" w:eastAsia="Times New Roman" w:hAnsi="Times New Roman"/>
          <w:sz w:val="18"/>
          <w:szCs w:val="18"/>
          <w:color w:val="auto"/>
        </w:rPr>
        <w:t xml:space="preserve"> to quickly evaluate various options for the overpass bridge, then </w:t>
      </w:r>
      <w:r>
        <w:rPr>
          <w:rFonts w:ascii="Times New Roman" w:cs="Times New Roman" w:eastAsia="Times New Roman" w:hAnsi="Times New Roman"/>
          <w:sz w:val="18"/>
          <w:szCs w:val="18"/>
          <w:i w:val="1"/>
          <w:iCs w:val="1"/>
          <w:color w:val="auto"/>
        </w:rPr>
        <w:t>OpenBridge Designer</w:t>
      </w:r>
      <w:r>
        <w:rPr>
          <w:rFonts w:ascii="Times New Roman" w:cs="Times New Roman" w:eastAsia="Times New Roman" w:hAnsi="Times New Roman"/>
          <w:sz w:val="18"/>
          <w:szCs w:val="18"/>
          <w:color w:val="auto"/>
        </w:rPr>
        <w:t xml:space="preserve"> is used to produce the detailed design of the bridge. </w:t>
      </w:r>
      <w:r>
        <w:rPr>
          <w:rFonts w:ascii="Times New Roman" w:cs="Times New Roman" w:eastAsia="Times New Roman" w:hAnsi="Times New Roman"/>
          <w:sz w:val="18"/>
          <w:szCs w:val="18"/>
          <w:i w:val="1"/>
          <w:iCs w:val="1"/>
          <w:color w:val="auto"/>
        </w:rPr>
        <w:t>LEAP</w:t>
      </w:r>
      <w:r>
        <w:rPr>
          <w:rFonts w:ascii="Times New Roman" w:cs="Times New Roman" w:eastAsia="Times New Roman" w:hAnsi="Times New Roman"/>
          <w:sz w:val="18"/>
          <w:szCs w:val="18"/>
          <w:color w:val="auto"/>
        </w:rPr>
        <w:t xml:space="preserve"> is used to model and simulate the bridge’s structural performance and compliance with building codes. Throughout the detailed design phase, as the project team grows and the complexity of the design develops,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supports the work-sharing for the team, manages the production and distribution of the project deliverables, and helps resolve design clashes among elements of the multidisciplinary design.</w:t>
      </w:r>
    </w:p>
    <w:p>
      <w:pPr>
        <w:spacing w:after="0" w:line="339"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the construction phase, as the project team expands to include contractors and subcontractors, detailers, and fabricators,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coordinates and provides an audit trail of the distribution of documents and approvals, ensuring the right team members have the right information at the right time. The construction management team uses </w:t>
      </w:r>
      <w:r>
        <w:rPr>
          <w:rFonts w:ascii="Times New Roman" w:cs="Times New Roman" w:eastAsia="Times New Roman" w:hAnsi="Times New Roman"/>
          <w:sz w:val="18"/>
          <w:szCs w:val="18"/>
          <w:i w:val="1"/>
          <w:iCs w:val="1"/>
          <w:color w:val="auto"/>
        </w:rPr>
        <w:t>SYNCHRO 4D</w:t>
      </w:r>
      <w:r>
        <w:rPr>
          <w:rFonts w:ascii="Times New Roman" w:cs="Times New Roman" w:eastAsia="Times New Roman" w:hAnsi="Times New Roman"/>
          <w:sz w:val="18"/>
          <w:szCs w:val="18"/>
          <w:color w:val="auto"/>
        </w:rPr>
        <w:t xml:space="preserve"> to take the 3D models of the project and assign sequencing attributes to the various constructible elements, creating a 4D construction model used to evaluate different construction sequences during planning, and to track the progress of the actual construction through to completion. </w:t>
      </w:r>
      <w:r>
        <w:rPr>
          <w:rFonts w:ascii="Times New Roman" w:cs="Times New Roman" w:eastAsia="Times New Roman" w:hAnsi="Times New Roman"/>
          <w:sz w:val="18"/>
          <w:szCs w:val="18"/>
          <w:i w:val="1"/>
          <w:iCs w:val="1"/>
          <w:color w:val="auto"/>
        </w:rPr>
        <w:t>SYNCHRO ConstructSim</w:t>
      </w:r>
      <w:r>
        <w:rPr>
          <w:rFonts w:ascii="Times New Roman" w:cs="Times New Roman" w:eastAsia="Times New Roman" w:hAnsi="Times New Roman"/>
          <w:sz w:val="18"/>
          <w:szCs w:val="18"/>
          <w:color w:val="auto"/>
        </w:rPr>
        <w:t xml:space="preserve"> is used to automate the detailed workface planning to create work packages of trades, materials, and schedules for each step and each section of the construction project.</w:t>
      </w:r>
    </w:p>
    <w:p>
      <w:pPr>
        <w:spacing w:after="0" w:line="34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When the construction planning is complete and the roadway and ramp grading is ready to begin, the project terrain model created by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is exported via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to Topcon’s </w:t>
      </w:r>
      <w:r>
        <w:rPr>
          <w:rFonts w:ascii="Times New Roman" w:cs="Times New Roman" w:eastAsia="Times New Roman" w:hAnsi="Times New Roman"/>
          <w:sz w:val="18"/>
          <w:szCs w:val="18"/>
          <w:i w:val="1"/>
          <w:iCs w:val="1"/>
          <w:color w:val="auto"/>
        </w:rPr>
        <w:t>Magnet</w:t>
      </w:r>
      <w:r>
        <w:rPr>
          <w:rFonts w:ascii="Times New Roman" w:cs="Times New Roman" w:eastAsia="Times New Roman" w:hAnsi="Times New Roman"/>
          <w:sz w:val="18"/>
          <w:szCs w:val="18"/>
          <w:color w:val="auto"/>
        </w:rPr>
        <w:t xml:space="preserve"> software, which drives the GPS-enabled grading machinery to grade the surface of the site earthworks to the exact elevations of the design model. As the construction progresses,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surveys the site to enable our solution’s reality modeling capabilities to track the volume of soil still to be cut and filled, and monitor the actual progress to determine the “earned value” for contractor payments.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Asset Lifecycle Use Case</w:t>
      </w:r>
    </w:p>
    <w:p>
      <w:pPr>
        <w:spacing w:after="0" w:line="146"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When the roadway overpass project is complete and operational, our Asset Lifecycle solutions can help keep its infrastructure in peak performance:</w:t>
      </w:r>
    </w:p>
    <w:p>
      <w:pPr>
        <w:spacing w:after="0" w:line="9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AssetWise Asset Reliability </w:t>
      </w:r>
      <w:r>
        <w:rPr>
          <w:rFonts w:ascii="Times New Roman" w:cs="Times New Roman" w:eastAsia="Times New Roman" w:hAnsi="Times New Roman"/>
          <w:sz w:val="18"/>
          <w:szCs w:val="18"/>
          <w:color w:val="auto"/>
        </w:rPr>
        <w:t>manages the inspection and inventory of all types of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infrastructure assets, including bridges, culverts, signs, light poles, antenna towers, stormwater networks, guardrails, retaining walls, and other ancillary structures.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 the roadway and overpass and use machine learning to identify storm drains that are clogged or road surface cracks and potholes needing repair and </w:t>
      </w: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xml:space="preserve"> alerts enterprise maintenance systems to issue work orders for repairs.</w:t>
      </w:r>
    </w:p>
    <w:p>
      <w:pPr>
        <w:spacing w:after="0" w:line="117"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Sensors on the overpass bridge provide performance data to the asset performance digital twin and </w:t>
      </w:r>
      <w:r>
        <w:rPr>
          <w:rFonts w:ascii="Times New Roman" w:cs="Times New Roman" w:eastAsia="Times New Roman" w:hAnsi="Times New Roman"/>
          <w:sz w:val="18"/>
          <w:szCs w:val="18"/>
          <w:i w:val="1"/>
          <w:iCs w:val="1"/>
          <w:color w:val="auto"/>
        </w:rPr>
        <w:t xml:space="preserve">AssetWise 4D Analytics </w:t>
      </w:r>
      <w:r>
        <w:rPr>
          <w:rFonts w:ascii="Times New Roman" w:cs="Times New Roman" w:eastAsia="Times New Roman" w:hAnsi="Times New Roman"/>
          <w:sz w:val="18"/>
          <w:szCs w:val="18"/>
          <w:color w:val="auto"/>
        </w:rPr>
        <w:t>compares the observed performance to the predicted performance of the digital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spots trends for future performance, ensuring the safe operation of the bridge. </w:t>
      </w:r>
      <w:r>
        <w:rPr>
          <w:rFonts w:ascii="Times New Roman" w:cs="Times New Roman" w:eastAsia="Times New Roman" w:hAnsi="Times New Roman"/>
          <w:sz w:val="18"/>
          <w:szCs w:val="18"/>
          <w:i w:val="1"/>
          <w:iCs w:val="1"/>
          <w:color w:val="auto"/>
        </w:rPr>
        <w:t>SUPERLOAD</w:t>
      </w:r>
      <w:r>
        <w:rPr>
          <w:rFonts w:ascii="Times New Roman" w:cs="Times New Roman" w:eastAsia="Times New Roman" w:hAnsi="Times New Roman"/>
          <w:sz w:val="18"/>
          <w:szCs w:val="18"/>
          <w:color w:val="auto"/>
        </w:rPr>
        <w:t>, which maintains a cloud database of the dimensions and structural capacities of all the bridges in the state, further supports the operation of the overpass by permitting and routing over-sized and overweight vehicles to ensure those vehicles can safely cross the bridge, or have the clearance to drive under it, without damage to the vehicle or the bridge.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the city grows, </w:t>
      </w: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xml:space="preserve"> simulates the increase in vehicular traffic in different areas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Linear Analytics </w:t>
      </w:r>
      <w:r>
        <w:rPr>
          <w:rFonts w:ascii="Times New Roman" w:cs="Times New Roman" w:eastAsia="Times New Roman" w:hAnsi="Times New Roman"/>
          <w:sz w:val="18"/>
          <w:szCs w:val="18"/>
          <w:color w:val="auto"/>
        </w:rPr>
        <w:t>analyzes the road network and projects the impact of increased traffic on the overpass.</w:t>
      </w:r>
      <w:r>
        <w:rPr>
          <w:rFonts w:ascii="Times New Roman" w:cs="Times New Roman" w:eastAsia="Times New Roman" w:hAnsi="Times New Roman"/>
          <w:sz w:val="18"/>
          <w:szCs w:val="18"/>
          <w:i w:val="1"/>
          <w:iCs w:val="1"/>
          <w:color w:val="auto"/>
        </w:rPr>
        <w:t xml:space="preserve"> Linear Analytics </w:t>
      </w:r>
      <w:r>
        <w:rPr>
          <w:rFonts w:ascii="Times New Roman" w:cs="Times New Roman" w:eastAsia="Times New Roman" w:hAnsi="Times New Roman"/>
          <w:sz w:val="18"/>
          <w:szCs w:val="18"/>
          <w:color w:val="auto"/>
        </w:rPr>
        <w:t>also indicates the impact of a lane closure due to construction or an accident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alternate routing to alleviate congestion. When road construction involves subsurface utilities, </w:t>
      </w: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xml:space="preserve"> provides accurate documentation to the field to locate and identify the utility networks in the construction zone and analyzes the water pipe networks to help pinpoint the source of leaks. If there is flooding due to a water main break or an extreme weather event, </w:t>
      </w:r>
      <w:r>
        <w:rPr>
          <w:rFonts w:ascii="Times New Roman" w:cs="Times New Roman" w:eastAsia="Times New Roman" w:hAnsi="Times New Roman"/>
          <w:sz w:val="18"/>
          <w:szCs w:val="18"/>
          <w:i w:val="1"/>
          <w:iCs w:val="1"/>
          <w:color w:val="auto"/>
        </w:rPr>
        <w:t>OpenFlows FLOOD</w:t>
      </w:r>
      <w:r>
        <w:rPr>
          <w:rFonts w:ascii="Times New Roman" w:cs="Times New Roman" w:eastAsia="Times New Roman" w:hAnsi="Times New Roman"/>
          <w:sz w:val="18"/>
          <w:szCs w:val="18"/>
          <w:color w:val="auto"/>
        </w:rPr>
        <w:t xml:space="preserve"> models the extent of flooding over the timeline of the event and determines its impact on the roadway and overpass.</w:t>
      </w:r>
    </w:p>
    <w:p>
      <w:pPr>
        <w:spacing w:after="0" w:line="104"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AssetWise ALIM </w:t>
      </w:r>
      <w:r>
        <w:rPr>
          <w:rFonts w:ascii="Times New Roman" w:cs="Times New Roman" w:eastAsia="Times New Roman" w:hAnsi="Times New Roman"/>
          <w:sz w:val="18"/>
          <w:szCs w:val="18"/>
          <w:color w:val="auto"/>
        </w:rPr>
        <w:t>tracks and manages all of the overpass and roadway network asset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ensuring that changes over its lifecycle are recorded and those affected by the impact of those changes on the entire road network are notified. </w:t>
      </w:r>
      <w:r>
        <w:rPr>
          <w:rFonts w:ascii="Times New Roman" w:cs="Times New Roman" w:eastAsia="Times New Roman" w:hAnsi="Times New Roman"/>
          <w:sz w:val="18"/>
          <w:szCs w:val="18"/>
          <w:i w:val="1"/>
          <w:iCs w:val="1"/>
          <w:color w:val="auto"/>
        </w:rPr>
        <w:t>ALIM</w:t>
      </w:r>
      <w:r>
        <w:rPr>
          <w:rFonts w:ascii="Times New Roman" w:cs="Times New Roman" w:eastAsia="Times New Roman" w:hAnsi="Times New Roman"/>
          <w:sz w:val="18"/>
          <w:szCs w:val="18"/>
          <w:color w:val="auto"/>
        </w:rPr>
        <w:t xml:space="preserve"> streamlines the data analysis and reporting required for compliance with local, regional, and national transportation authorities.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Commercial Offerings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Licensing Models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$250,000 ARR) we have traditionally offered an ELS, which entitles unlimited use of any of our applications for an annual fixed fee, reset annually generally based on actual usage (within each country) for the previous year. During the fourth quarter of 2018, to respond to and improve upon new commercial models offered by peers and competitors, we introduced a new global consumption-based plan with consumption measurement durations of less than one year, E365, which is priced uniformly per application per day of actual usage in any country, and inclusive of Success services (described below) by our colleagues to assist with expanding and gaining the most value from usage of our software. We have begun upgrading ELS accounts to E365, beginning with the largest global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3600450</wp:posOffset>
            </wp:positionV>
            <wp:extent cx="12344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right="1159" w:hanging="358"/>
        <w:spacing w:after="0" w:line="282"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9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 xml:space="preserve">Our systems,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offered under our CSS program, charged quarterly based on actual users of “passports” and “visas” for various levels of functionality. Passport and visa pricing include Azure provisioning at our cost, although some accounts elect to continue on-premises and/or hybrid hosting. CSS commercial models entail an annual funding commitment, generally paid upfront, based on an estimation of services to be used for the upcoming year. Actual consumption is monitored and invoiced against the deposit on a calendar quarter basis. Accounts are charged only for what gets used, and deposited amounts never expire. At the end of 2019, accounts comprising approximately 58% our total ARR had chosen to institute our new commercial models of CSS and/or E365 consumption funding for licensing of our software.</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Success Plans</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Over the past several years we have re-deployed the post-sale focus of our success force, comprising more than 900 colleagues with experience and credentials in infrastructure engineering, from on-demand professional services and training to instead fulfill “Success Plans.” Through Success Plans we assume proactive responsibilities to accounts to maximize their value from our solutions, which we accomplish by assigning our success force experts to be dedicated to serve multiple accounts requiring similar specializations. Typically, our success force engages with our accounts remotely. Success Plans are bundled into our new E365 commercial program and are growing rapidly among our major accounts.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success force also provides:</w:t>
      </w:r>
    </w:p>
    <w:p>
      <w:pPr>
        <w:spacing w:after="0" w:line="115" w:lineRule="exact"/>
        <w:rPr>
          <w:sz w:val="20"/>
          <w:szCs w:val="20"/>
          <w:color w:val="auto"/>
        </w:rPr>
      </w:pPr>
    </w:p>
    <w:p>
      <w:pPr>
        <w:ind w:left="1800" w:right="839" w:hanging="178"/>
        <w:spacing w:after="0" w:line="267"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Managed services, </w:t>
      </w:r>
      <w:r>
        <w:rPr>
          <w:rFonts w:ascii="Times New Roman" w:cs="Times New Roman" w:eastAsia="Times New Roman" w:hAnsi="Times New Roman"/>
          <w:sz w:val="18"/>
          <w:szCs w:val="18"/>
          <w:color w:val="auto"/>
        </w:rPr>
        <w:t>under Service Level Agreements (“SLAs”), to administer accounts’ instances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Azure-provisioned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SLAs vary as to our scope of responsibility, sometimes including Success Plans and/or our colleagues dedicated onsite;</w:t>
      </w:r>
    </w:p>
    <w:p>
      <w:pPr>
        <w:spacing w:after="0" w:line="65" w:lineRule="exact"/>
        <w:rPr>
          <w:rFonts w:ascii="Times New Roman" w:cs="Times New Roman" w:eastAsia="Times New Roman" w:hAnsi="Times New Roman"/>
          <w:sz w:val="18"/>
          <w:szCs w:val="18"/>
          <w:color w:val="auto"/>
        </w:rPr>
      </w:pPr>
    </w:p>
    <w:p>
      <w:pPr>
        <w:ind w:left="1800" w:right="859" w:hanging="178"/>
        <w:spacing w:after="0" w:line="284"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mainly for implementation and integration of our</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systems within substantial enterprises, although we seek to minimize the need for this; and</w:t>
      </w:r>
    </w:p>
    <w:p>
      <w:pPr>
        <w:spacing w:after="0" w:line="50"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Advancement Academies, </w:t>
      </w:r>
      <w:r>
        <w:rPr>
          <w:rFonts w:ascii="Times New Roman" w:cs="Times New Roman" w:eastAsia="Times New Roman" w:hAnsi="Times New Roman"/>
          <w:sz w:val="18"/>
          <w:szCs w:val="18"/>
          <w:color w:val="auto"/>
        </w:rPr>
        <w:t>where we convene industry participants to share best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programs with major owner-operator accounts to onboard their supply chains for initiatives in going digital.</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Accounts</w:t>
      </w:r>
    </w:p>
    <w:p>
      <w:pPr>
        <w:spacing w:after="0" w:line="148"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We provide our software solutions to over 34,000 accounts in 172 countries worldwide. Our revenues are balanced and diversified between engineering and construction contracting firms who work together to deliver the design and construction of capital projects (representing 54% and 55% of our 2018 and 2019 revenues, respectively), and their clients, the world’s public and private infrastructure asset owners and operators (representing 46% and 45% of our 2018 and 2019 revenues, respectively).</w:t>
      </w:r>
    </w:p>
    <w:p>
      <w:pPr>
        <w:spacing w:after="0" w:line="117"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We do not have material account concentration. No account, including any group of accounts under common control or accounts that are affiliates of each other, represented more than 2.5% of our revenues in 2018 or 2019.</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User Case Studies</w:t>
      </w:r>
    </w:p>
    <w:p>
      <w:pPr>
        <w:spacing w:after="0" w:line="162"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Examples of the value of Bentley’s infrastructure engineering software solutions for the design, construction and operations of critical infrastructure include: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Italferr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1139825" cy="3771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398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color w:val="auto"/>
        </w:rPr>
        <w:t>Italferr Comprehensively Leverages Bentley’s Design Integration Solutions for Project Digital Twin in Critical Infrastructure Project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60"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Following the tragic collapse of the Morandi Bridge in Genoa, Italy in 2018, Italferr S.p.A. was commissioned to develop the engineering design of the new viaduct over the Polcevera River. The viaduct forms a critical link in the region’s transportation system and economy, which made it imperative to apply the latest technology to speed the design and construction of the replacement bridge. The project had to be tackled in innovative ways to ensure the speed of modeling and design decisions, with the requirement to complete the detailed engineering design in about three months, and the construction completed less than two years after the collapse. This meant that engineering workflows and construction workflows that are typically sequential had to be done in parallel to meet the extraordinary timeline for the engineering of the 1067-meter-long viaduct.</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60"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Italferr turned to Bentley’s design integration portfolio for the multi-disciplinary engineering of the viaduct and ProjectWise’s connected data environment for project team collaboration, enabling the various engineering teams to seamlessly integrate their BIM models. Bentley’s reality modeling solution was used to quickly perform aerial LIDAR surveys of the site to automatically generate digital terrain models from the aerial imaging, and Italferr used Bentley’s geotechnical modeling applications to model the subsurface conditions. As the roadway alignment was being engineered with OpenRoads, another part of the design team modelled the structural, HVAC, and electrical systems as generative components, leveraging the inherent computational design capabilities in OpenBuildings’ GenerativeComponents technology. Since the sizing, angle, and orientation of these components were all driven by the geometry of the centerline alignment for the viaduct’s roadway, these computational design capabilities meant that the model and its related documentation could be automatically updated as the roadway alignment geometry or other governing geometry was updated to optimize the design.</w:t>
      </w:r>
    </w:p>
    <w:p>
      <w:pPr>
        <w:spacing w:after="0" w:line="112"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With the ProjectWise connected data environment as the collaboration and data federation hub for the project, it enabled digital workflows to keep the project digital twin continuously up- to-date, and to find and resolve clashes between the various components while still in the engineering phase. From the project digital twin, a 4D construction digital twin was created using SYNCHRO to strategize, visualize, and industrialize the construction sequence for optimal outcomes — as the concrete piers were being erected,</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the steel cross -sections of the decking spans could be fabricated offsite, transported to the construction site, assembled on the ground, then lifted in place onto the piers.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46"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The project digital twin also made it possible to extract volumes and quantities from the model which, when they were systematically organized into schedules, allowed the total cost of the work to be precisely defined. Italferr also is working to create an asset performance digital twin of the new viaduct to be used in the operation lifecycle, complete with information useful for organizing and managing maintenance. This objective will allow the digital twin model to leverage the digital components of the BIM model for use in operations and maintenance, linking the digital twin to IoT sensors monitoring the bridge performance to ensure its operational performance and safety. The project includes the construction of a photovoltaic system with an output power of 136 kW to use renewable energy to power the safety monitoring systems as well as the lighting, controls, and drainage equipment of the viaduct.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Italferr has been using Bentley’s civil engineering solutions for more than ten years, and since 2016 has expanded their adoption of Bentley offerings to include ProjectWise and a comprehensive portfolio of design integration applications.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582930" cy="5575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29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Shell Advances to 4D Construction Digital Twins with Bentley’s Reality Modeling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60"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To help in realizing its goal of building the “plant of the future” for a multi- billion -dollar chemical plant in western Pennsylvania, Shell wanted to regularly survey the construction site to track and improve the progress of the project, but because of the scale of the 386-acre site, and the inherent safety challenges in surveying an active construction site, conventional surveying methods were not feasible. To meet this challenge, Shell turned to Bentley’s ContextCapture software.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4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UAVs (Unmanned Aerial Vehicles) equipped with digital cameras perform at least weekly photographic surveys on the site and upload nearly 8,000 digital photos to Bentley’s ContextCapture cloud service, which automatically processes the 2D images into a 3D “reality mesh.” The reality mesh is dimensionally accurate and engineering-ready, making it an effective digital twin of the physical construction site. A new digital reality mesh is generated on a weekly basis, maintaining a 4D construction digital twin, enabling the engineering and construction teams to monitor the actual construction progress over time in comparison to planned progress.</w:t>
      </w:r>
    </w:p>
    <w:p>
      <w:pPr>
        <w:spacing w:after="0" w:line="324"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The Shell project team has worked with Bentley on a bi-monthly basis to use the digital twin and Bentley’s flood modeling application, OpenFlows FLOOD, to simulate the effects of heavy rainfall events resulting in potential flooding on the site. The results enable Shell Construction management to devise strategies to mitigate potential disruption to the construction schedule, swiftly re-planning workfront activities as well as assessing any environmental damage.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60"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digital twin of the construction project was also instrumental in enabling the project team to identify and resolve potential construction clashes in near-real-time, helping keep the project on track. In</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39"/>
        <w:spacing w:after="0" w:line="245" w:lineRule="auto"/>
        <w:rPr>
          <w:sz w:val="20"/>
          <w:szCs w:val="20"/>
          <w:color w:val="auto"/>
        </w:rPr>
      </w:pPr>
      <w:r>
        <w:rPr>
          <w:rFonts w:ascii="Times New Roman" w:cs="Times New Roman" w:eastAsia="Times New Roman" w:hAnsi="Times New Roman"/>
          <w:sz w:val="18"/>
          <w:szCs w:val="18"/>
          <w:color w:val="auto"/>
        </w:rPr>
        <w:t>addition, the project team used the reality meshes to monitor soil erosion, manage construction materials inventory, improve emergency response management, and identify potential hazards. The digital twin will facilitate safe plant operations, for instance through the accurate 3D location of underground piping, based on the capture of reality meshes for reference prior to trenches being filled in.</w:t>
      </w:r>
    </w:p>
    <w:p>
      <w:pPr>
        <w:spacing w:after="0" w:line="10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The continuous surveying of the existing site conditions ensures that the 4D construction digital twin always mirrors the current status, which is made securely accessible to the project teams via a web browser and immersive visualization. This allows Shell stakeholders, and the engineering, procurement, and construction (EPC) contractors, to optimize their collaboration and decision-making based on an up-to-date, single view of physical reality in relation to the 4D project plan.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use of ContextCapture and OpenFlows FLOOD adds to Bentley applications and systems cumulatively used for Shell projects and assets by its engineering, construction and plant operations groups. For example, Shell engineers use STAAD, SACS and MOSES for onshore and offshore structural simulation respectively, AutoPIPE for plant pipe stress simulation and PLAXIS for geotechnical engineering. In construction, Shell and EPC contractors use SYNCHRO Advanced Work Packaging for workface planning, achieving significant improvements in “hands-on-tools time.” In operations, AssetWise Reliability solutions have been applied to improve operational uptime. Spanning the project and asset lifecycles at mega -scale, Shell facilities benefit from ProjectWise and AssetWise connected data environments and are most recently leveraging Bentley’s iTwin services to open up the “dark data” from other vendors’ plant design applications.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Shenzhen Expressway Engineering Consultants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2468880" cy="3511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688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color w:val="auto"/>
        </w:rPr>
        <w:t>Shenzhen Expressway Engineering Consultants Leverage iTwin Technology for Delivery of Complex Highway Interchange</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6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The east grade-separated interchange engineering of Yan’gang in Shenzhen, Guangdong, China, was initiated to accommodate the convergence of four high-speed roadways, which transport cargo from the Shenzhen Yantian Port and is a connector for high-speed traffic to the downtown area. The complex interchange network runs 10.5 kilometers in length, including 10 new ramps, 16 bridges, and eight tunnels and underpasses. The RMB 1.47 billion project is one of the key demonstration projects chosen by the People’s Republic of China’s Ministry of Transport (MOT) to serve as a benchmark for innovation in the design, engineering, and construction of traffic infrastructure in Shenzhen. As the leading unit of the MOT’s BIM Industry R&amp;D Center, Shenzhen Highway Engineering Consultants is responsible for project delivery of the interchange, and for establishing a BIM and digital twin methodology throughout the entire project lifecycle that will become a model for the whole traffic engineering industry in Guangdong. The project scope includes the integrated site and multi-disciplinary highway engineering, the coordination and management of the large volume of data from multiple sources, including teams responsible for land acquisition and site demolition, and oversight of the complex construction works, while ensuring that the project meets the highest standards of quality, safety, cost management and timely completion.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46"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addition to a comprehensive set of Bentley’s open modeling applications and the ProjectWise collaboration system, the Shenzhen Expressway Engineering team used Bentley’s iTwin technology to create project and construction digital twins to analyze several traffic relief and interchange design schemes for an optimal design and construction plan. With an engineering and construction project this complex, it is essential that changes in any of the engineered systems (including earthworks, subsurface drainage networks, road and bridge foundations and superstructures, and roadway alignments), be communicated and</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synchronized to the entire project team, and that any potential physical clashes among these systems by identified and resolved prior to construction.</w:t>
      </w:r>
    </w:p>
    <w:p>
      <w:pPr>
        <w:spacing w:after="0" w:line="8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UAVs used Bentley’s reality modeling solutions, enabling continuous surveying of the site to monitor the construction progress. Bentley’s design integration and project delivery solutions, in concert with Bentley’s iTwin technology, facilitated real-time collaboration, change synchronization, and data access, identifying and proactively resolving over 60% of site interference problems to avoid construction delays and cost overruns. Through a 4D construction digital twin created with SYNCHRO, the team simulated virtual on-site construction to verify workflows and meet the 35-month construction schedule.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60"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The aggregation of data from multiple sources in the digital twin, and making that data open to analytics and accessible to project stakeholders, has provided valuable business and engineering insights to keep the project on track. For example, according to the actual conditions at site as continuously surveyed through reality modeling, the management team can analyze the observed progress deviation from schedule and can rationally allocate the manpower, material, machines and other resources to keep the project on schedule and on budget. The digital twin is providing the visibility needed to make its supervision more efficient — the industry supervision organizations, the owner, and the third-party survey company can assess the performance of each party in this project, and can initiate ratification notices and link it with the model, making the whole process online and transparent. In addition, through the innovative application of digital twin, it has been possible to achieve positive results in both energy saving and environmental protection. Upon completion, the “digital DNA” of the digital twin will be seamlessly reconfigured as an asset performance digital twin for the complete operations and maintenance lifecycle.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Beginning with their first use of Bentley’s civil engineering solutions in 2017, Shenzhen Expressway Engineering Consultants have expanded their adoption of Bentley’s full project delivery and asset performance solutions portfolio and is now one of the leading consumers of Bentley’s iTwin technology.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Águas do 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1071880" cy="5575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718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H2PORTO, A Technological Platform for the Integrated Management of the Urban Water Cycle</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46"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Águas do Porto is a water utility company providing service and management of the urban water cycle in Porto, the second largest city in Portugal. With nearly 157,000 customers, Águas do Porto currently manages 818 kilometers of water mains, 558 kilometers of foul water sewers, and 661 kilometers of storm water drainage pipes, in addition to 66 kilometers of streams and 3.4 kilometers of seafront. Águas do Porto has installed and manages data from 34,000 smart water meters on customer properties and has over</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350 telemetry and telecontrol devices installed throughout its network, a number that continues to increase.</w:t>
      </w:r>
    </w:p>
    <w:p>
      <w:pPr>
        <w:spacing w:after="0" w:line="13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Águas do Porto was challenged with finding a better way to manage the vast number of infrastructure assets and water resources required to manage the city’s water cycle and to integrate, manage and analyze a huge amount of data collected from many sources with numerous existing, and sometimes incompatible, software systems. To meet this challenge, the company began development of H2PORTO, a technology platform for the integrated management of the urban water cycle. The overarching goals of the project are to promote a culture of innovation and smart water management for the efficient usage of existing resources and to achieve better overall asset management and service.</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46"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OpenFlows, OpenFlows WaterGEMs, and OpenFlows FLOOD were used for the design, configuration, implementation, and automation of all the modeling and predictive capabilities, and for the creation of a digital twin of the city’s water supply, wastewater, stormwater, and bathing water systems, to forecast flooding and water quality issues, and to improve service response and resilience. The predictive models automatically generate daily forecasts and publish the results in the project platform. Bentley consultants also developed services for on-demand, online simulation analysis of network changes resulting from pipe bursts, valve closures, and pumping station shutoffs.</w:t>
      </w:r>
    </w:p>
    <w:p>
      <w:pPr>
        <w:spacing w:after="0" w:line="121"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The H2PORTO platform incorporates all data gathered from more than 22 different sources, including billing, meters, sensors, operations, SCADA, weather stations and traffic control systems. Integrating all this data in an agnostic technological platform management system, the company created a powerful tool that enables better and more reliable water service and achieves more structured and effective communication and collaboration for 400 internal users, customers and other stakeholders. The platform relies on the identification of issues related to common standards and processes for data provision, communication amongst technological platforms, business intelligence tools, and decision making through the analysis of data, modelling tools and predictive analysis, striving to better inform its citizens.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digital twin of the water system has evolved to an </w:t>
      </w:r>
      <w:r>
        <w:rPr>
          <w:rFonts w:ascii="Times New Roman" w:cs="Times New Roman" w:eastAsia="Times New Roman" w:hAnsi="Times New Roman"/>
          <w:sz w:val="18"/>
          <w:szCs w:val="18"/>
          <w:i w:val="1"/>
          <w:iCs w:val="1"/>
          <w:color w:val="auto"/>
        </w:rPr>
        <w:t>asset performance digital twin</w:t>
      </w:r>
      <w:r>
        <w:rPr>
          <w:rFonts w:ascii="Times New Roman" w:cs="Times New Roman" w:eastAsia="Times New Roman" w:hAnsi="Times New Roman"/>
          <w:sz w:val="18"/>
          <w:szCs w:val="18"/>
          <w:color w:val="auto"/>
        </w:rPr>
        <w:t>. The insights gained from the digital twin enable the team to adjust their asset management strategies every day, allowing for more sustainable asset planning. The digital twin helps engineers and technicians to investigate and analyze the networks in more detail and from different perspectives, with room for tests and simulations that are not achievable in real-life scenarios. The modeling of flooding and pollution events specifically empowers the teams with the information they need to take the necessary actions to prevent damage or harmful incidents before they occur. Since 2016, the rate of water meters replacement almost doubled, the average duration of pipe bursts repairs improved by 8%, and water supply interruptions and malfunctions in water mains both decreased about 20%.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Águas do Porto has been a user of Bentley’s solutions since 2013.</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Technology</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68" w:lineRule="exact"/>
        <w:rPr>
          <w:sz w:val="20"/>
          <w:szCs w:val="20"/>
          <w:color w:val="auto"/>
        </w:rPr>
      </w:pPr>
    </w:p>
    <w:p>
      <w:pPr>
        <w:ind w:left="1800" w:right="939" w:hanging="178"/>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generational stability of file formats, corresponding to the long lives of infrastructure projects and assets;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openness and interoperability with competitors’ file formats;</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software applications’ lifecycles, never jeopardizing users’ cumulative investments by requiring them to “start over”;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capacity and performance, versus competitors, for large infrastructure models and datasets.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Application Framework</w:t>
      </w:r>
    </w:p>
    <w:p>
      <w:pPr>
        <w:spacing w:after="0" w:line="16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Our software solutions are delivered using flexible, reusable, and open technology, which results in highly integrated applications and cloud services that support comprehensive digital workflows in a scalable manner. For example, our modeling and simulation applications, including MicroStation, leverage a set of reusable components for graphics editing, visualization, solid modeling, and other capabilities. This open framework supports the addition of domain specific features, allowing us to offer highly compatible and well-integrated discipline-specific applications based on this common framework.</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Microsoft Integration</w:t>
      </w:r>
    </w:p>
    <w:p>
      <w:pPr>
        <w:spacing w:after="0" w:line="14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iModels and iModelHub</w:t>
      </w:r>
    </w:p>
    <w:p>
      <w:pPr>
        <w:spacing w:after="0" w:line="16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support a rich format for digital twins called an iModel, a relational database encapsulated in a file, that stores aligned domain data from multiple source applications. iModels are synchronized with our design applications and we provide software development tools to enable iModels to be synchronized with third-party applications or services. We have created and maintain iModel connections to most of the significant applications used in infrastructure engineering. iModels provide a common data currency to support open and easy exchange between users and systems, and we believe that they have become a de facto standard for visibility and collaboration of digital engineering models. iModelHub, an iTwin cloud service, manages each iModel as a distributed database with an intrinsic ledger of changes (enabling alignment, accountability, and accessibility of digital components over the lifecycle of a project or an asset) to form the backbone of an infrastructure digital twin. To foster an expanded ecosystem of digital twin innovation, our iModel.js code is available on GitHub as an open source library under the MIT license.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Licensing and Administration Platform</w:t>
      </w:r>
    </w:p>
    <w:p>
      <w:pPr>
        <w:spacing w:after="0" w:line="160"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All of our applications and systems share a cloud-native platform for license pooling, management of subscription entitlements, and usage reporting for us and for accounts, including for commercial consumption metrics. Our platform also logs usage of particular “instrumented” functions within our applications to enable our success force to be of most value. Our platform can also provide in-application messaging to users from our success force.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Acquisitions</w:t>
      </w:r>
    </w:p>
    <w:p>
      <w:pPr>
        <w:spacing w:after="0" w:line="148"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 software businesses, including 18 acquisitions over the past</w:t>
      </w:r>
    </w:p>
    <w:p>
      <w:pPr>
        <w:ind w:left="1260" w:right="899"/>
        <w:spacing w:after="0" w:line="260" w:lineRule="auto"/>
        <w:rPr>
          <w:sz w:val="20"/>
          <w:szCs w:val="20"/>
          <w:color w:val="auto"/>
        </w:rPr>
      </w:pPr>
      <w:r>
        <w:rPr>
          <w:rFonts w:ascii="Times New Roman" w:cs="Times New Roman" w:eastAsia="Times New Roman" w:hAnsi="Times New Roman"/>
          <w:sz w:val="18"/>
          <w:szCs w:val="18"/>
          <w:color w:val="auto"/>
        </w:rPr>
        <w:t>five years. Our average historical annual revenue growth rate from acquisitions over the last six years has been approximately 1.1%. Our acquisitions have the following purposes:</w:t>
      </w:r>
    </w:p>
    <w:p>
      <w:pPr>
        <w:spacing w:after="0" w:line="87" w:lineRule="exact"/>
        <w:rPr>
          <w:sz w:val="20"/>
          <w:szCs w:val="20"/>
          <w:color w:val="auto"/>
        </w:rPr>
      </w:pPr>
    </w:p>
    <w:p>
      <w:pPr>
        <w:ind w:left="1800" w:right="939" w:hanging="178"/>
        <w:spacing w:after="0" w:line="266"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in the breadth and depth of our comprehensive applications portfolio across disciplines and infrastructure sectors, especially where the developer organizations have already worked on integration and compatibility with our platforms and APIs;</w:t>
      </w:r>
    </w:p>
    <w:p>
      <w:pPr>
        <w:spacing w:after="0" w:line="81"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lifecycle comprehensiveness, especially for our Asset and Network Performance, and Digital Cities product advancement units;</w:t>
      </w:r>
    </w:p>
    <w:p>
      <w:pPr>
        <w:spacing w:after="0" w:line="80"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horizontal technologies that we can incorporate within our platforms for the benefit of our applications and systems at large, such as reality modeling; and</w:t>
      </w:r>
    </w:p>
    <w:p>
      <w:pPr>
        <w:spacing w:after="0" w:line="67"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distribution capacity, such as to channel partners in geographies where we wish to accelerate our scale and growth.</w:t>
      </w:r>
    </w:p>
    <w:p>
      <w:pPr>
        <w:spacing w:after="0" w:line="9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executive management and our Portfolio Development team proactively identify and develop potential acquisition subject areas and unsolicited candidates. We also are prepared, experienced, and able to respond with agility when appropriate situations may appear opportunistically. We have a disciplined and proprietary diligence and valuation process for evaluating acquisition targets. Our general practice is to fully assimilate the acquired companies’ functions into our global functional structure as quickly as possible, supported by a dedicated team to manage and streamline the integration process.</w:t>
      </w:r>
    </w:p>
    <w:p>
      <w:pPr>
        <w:spacing w:after="0" w:line="106"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prioritize the retention and development of the acquired incoming colleagues from our acquisitions, including offering talent mobility for key personnel. Further, many of our current line executives are former founders and/or C-level officers of companies we have acquired.</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Examples of key recent acquisitions, along with their purposes, include:</w:t>
      </w:r>
    </w:p>
    <w:p>
      <w:pPr>
        <w:spacing w:after="0" w:line="102" w:lineRule="exact"/>
        <w:rPr>
          <w:sz w:val="20"/>
          <w:szCs w:val="20"/>
          <w:color w:val="auto"/>
        </w:rPr>
      </w:pPr>
    </w:p>
    <w:p>
      <w:pPr>
        <w:ind w:left="1800" w:right="679" w:hanging="178"/>
        <w:spacing w:after="0" w:line="27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i w:val="1"/>
          <w:iCs w:val="1"/>
          <w:color w:val="auto"/>
        </w:rPr>
        <w:t xml:space="preserve"> SoilVision </w:t>
      </w:r>
      <w:r>
        <w:rPr>
          <w:rFonts w:ascii="Times New Roman" w:cs="Times New Roman" w:eastAsia="Times New Roman" w:hAnsi="Times New Roman"/>
          <w:sz w:val="18"/>
          <w:szCs w:val="18"/>
          <w:color w:val="auto"/>
        </w:rPr>
        <w:t>(2018), and</w:t>
      </w:r>
      <w:r>
        <w:rPr>
          <w:rFonts w:ascii="Times New Roman" w:cs="Times New Roman" w:eastAsia="Times New Roman" w:hAnsi="Times New Roman"/>
          <w:sz w:val="18"/>
          <w:szCs w:val="18"/>
          <w:i w:val="1"/>
          <w:iCs w:val="1"/>
          <w:color w:val="auto"/>
        </w:rPr>
        <w:t xml:space="preserve"> Keynetix </w:t>
      </w:r>
      <w:r>
        <w:rPr>
          <w:rFonts w:ascii="Times New Roman" w:cs="Times New Roman" w:eastAsia="Times New Roman" w:hAnsi="Times New Roman"/>
          <w:sz w:val="18"/>
          <w:szCs w:val="18"/>
          <w:color w:val="auto"/>
        </w:rPr>
        <w:t>(2019), to become what we believe be a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 in geotechnical engineering modeling and simulation software and in geotechnical information management;</w:t>
      </w:r>
    </w:p>
    <w:p>
      <w:pPr>
        <w:spacing w:after="0" w:line="279"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w:t>
      </w:r>
      <w:r>
        <w:rPr>
          <w:rFonts w:ascii="Times New Roman" w:cs="Times New Roman" w:eastAsia="Times New Roman" w:hAnsi="Times New Roman"/>
          <w:sz w:val="18"/>
          <w:szCs w:val="18"/>
          <w:color w:val="auto"/>
        </w:rPr>
        <w:t>(2018), to become a leading provider of 4D construction modeling software;</w:t>
      </w:r>
    </w:p>
    <w:p>
      <w:pPr>
        <w:spacing w:after="0" w:line="117" w:lineRule="exact"/>
        <w:rPr>
          <w:rFonts w:ascii="Times New Roman" w:cs="Times New Roman" w:eastAsia="Times New Roman" w:hAnsi="Times New Roman"/>
          <w:sz w:val="18"/>
          <w:szCs w:val="18"/>
          <w:color w:val="auto"/>
        </w:rPr>
      </w:pPr>
    </w:p>
    <w:p>
      <w:pPr>
        <w:ind w:left="1800" w:right="1139" w:hanging="178"/>
        <w:spacing w:after="0" w:line="284"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ACE Enterprise </w:t>
      </w:r>
      <w:r>
        <w:rPr>
          <w:rFonts w:ascii="Times New Roman" w:cs="Times New Roman" w:eastAsia="Times New Roman" w:hAnsi="Times New Roman"/>
          <w:sz w:val="18"/>
          <w:szCs w:val="18"/>
          <w:color w:val="auto"/>
        </w:rPr>
        <w:t>(2018), to integrate our systems with enterprise environments such as SAP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IBM’s Maximo;</w:t>
      </w:r>
    </w:p>
    <w:p>
      <w:pPr>
        <w:spacing w:after="0" w:line="50" w:lineRule="exact"/>
        <w:rPr>
          <w:rFonts w:ascii="Times New Roman" w:cs="Times New Roman" w:eastAsia="Times New Roman" w:hAnsi="Times New Roman"/>
          <w:sz w:val="18"/>
          <w:szCs w:val="18"/>
          <w:color w:val="auto"/>
        </w:rPr>
      </w:pPr>
    </w:p>
    <w:p>
      <w:pPr>
        <w:ind w:left="1800" w:right="1099" w:hanging="178"/>
        <w:spacing w:after="0" w:line="284"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Citilabs </w:t>
      </w:r>
      <w:r>
        <w:rPr>
          <w:rFonts w:ascii="Times New Roman" w:cs="Times New Roman" w:eastAsia="Times New Roman" w:hAnsi="Times New Roman"/>
          <w:sz w:val="18"/>
          <w:szCs w:val="18"/>
          <w:color w:val="auto"/>
        </w:rPr>
        <w:t>(2019), to add vehicle traffic simulation software (CUBE) and roadway movement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(Streetlytics) to lead to improved mobility digital twins for Digital Cities;</w:t>
      </w:r>
    </w:p>
    <w:p>
      <w:pPr>
        <w:spacing w:after="0" w:line="36" w:lineRule="exact"/>
        <w:rPr>
          <w:rFonts w:ascii="Times New Roman" w:cs="Times New Roman" w:eastAsia="Times New Roman" w:hAnsi="Times New Roman"/>
          <w:sz w:val="18"/>
          <w:szCs w:val="18"/>
          <w:color w:val="auto"/>
        </w:rPr>
      </w:pPr>
    </w:p>
    <w:p>
      <w:pPr>
        <w:ind w:left="1800" w:right="779" w:hanging="178"/>
        <w:spacing w:after="0" w:line="284"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OrbitGT </w:t>
      </w:r>
      <w:r>
        <w:rPr>
          <w:rFonts w:ascii="Times New Roman" w:cs="Times New Roman" w:eastAsia="Times New Roman" w:hAnsi="Times New Roman"/>
          <w:sz w:val="18"/>
          <w:szCs w:val="18"/>
          <w:color w:val="auto"/>
        </w:rPr>
        <w:t>(2019), to add specialized capabilities for mobile mapping (such as vehicle-based scanning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photogrammetry) to our reality modeling offerings for Digital Cities;</w:t>
      </w:r>
    </w:p>
    <w:p>
      <w:pPr>
        <w:spacing w:after="0" w:line="50" w:lineRule="exact"/>
        <w:rPr>
          <w:rFonts w:ascii="Times New Roman" w:cs="Times New Roman" w:eastAsia="Times New Roman" w:hAnsi="Times New Roman"/>
          <w:sz w:val="18"/>
          <w:szCs w:val="18"/>
          <w:color w:val="auto"/>
        </w:rPr>
      </w:pPr>
    </w:p>
    <w:p>
      <w:pPr>
        <w:ind w:left="1800" w:right="899" w:hanging="178"/>
        <w:spacing w:after="0" w:line="267"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GroupBC </w:t>
      </w:r>
      <w:r>
        <w:rPr>
          <w:rFonts w:ascii="Times New Roman" w:cs="Times New Roman" w:eastAsia="Times New Roman" w:hAnsi="Times New Roman"/>
          <w:sz w:val="18"/>
          <w:szCs w:val="18"/>
          <w:color w:val="auto"/>
        </w:rPr>
        <w:t>(2020), to bring additional common data environment solutions for construction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infrastructure assets, and federate to iTwin cloud services, extending the value of project and asset information through digital twins; and</w:t>
      </w:r>
    </w:p>
    <w:p>
      <w:pPr>
        <w:spacing w:after="0" w:line="65" w:lineRule="exact"/>
        <w:rPr>
          <w:rFonts w:ascii="Times New Roman" w:cs="Times New Roman" w:eastAsia="Times New Roman" w:hAnsi="Times New Roman"/>
          <w:sz w:val="18"/>
          <w:szCs w:val="18"/>
          <w:color w:val="auto"/>
        </w:rPr>
      </w:pPr>
    </w:p>
    <w:p>
      <w:pPr>
        <w:jc w:val="both"/>
        <w:ind w:left="1800" w:right="839" w:hanging="178"/>
        <w:spacing w:after="0" w:line="267"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Cohesive Solutions </w:t>
      </w:r>
      <w:r>
        <w:rPr>
          <w:rFonts w:ascii="Times New Roman" w:cs="Times New Roman" w:eastAsia="Times New Roman" w:hAnsi="Times New Roman"/>
          <w:sz w:val="18"/>
          <w:szCs w:val="18"/>
          <w:color w:val="auto"/>
        </w:rPr>
        <w:t>(2020), to bring digital integrator expertise for the convergence, through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twin cloud services, of digital engineering models (ET), with IT and OT, for infrastructure assets in the utilities, energy and facilities sectors.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Competition</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The market for our software solutions is highly competitive and subject to change. We compete against large, global, publicly-traded companies that have resources greater than our own, and also against small, new, or geographically-focused firms that specialize in developing niche software offerings. While we do not believe that any competitor offers a portfolio as comprehensive as ours, we do face strong competition, varying by infrastructure lifecycle phase and sector:</w:t>
      </w:r>
    </w:p>
    <w:p>
      <w:pPr>
        <w:spacing w:after="0" w:line="73" w:lineRule="exact"/>
        <w:rPr>
          <w:sz w:val="20"/>
          <w:szCs w:val="20"/>
          <w:color w:val="auto"/>
        </w:rPr>
      </w:pPr>
    </w:p>
    <w:p>
      <w:pPr>
        <w:ind w:left="1800" w:right="1279" w:hanging="178"/>
        <w:spacing w:after="0" w:line="28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public works/utilities applications</w:t>
      </w:r>
      <w:r>
        <w:rPr>
          <w:rFonts w:ascii="Times New Roman" w:cs="Times New Roman" w:eastAsia="Times New Roman" w:hAnsi="Times New Roman"/>
          <w:sz w:val="18"/>
          <w:szCs w:val="18"/>
          <w:color w:val="auto"/>
        </w:rPr>
        <w:t xml:space="preserve"> include Autodesk, Inc., Trimble Inc., Hexagon AB, and Dassault Systèmes;</w:t>
      </w:r>
    </w:p>
    <w:p>
      <w:pPr>
        <w:spacing w:after="0" w:line="46"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industrial/resources applications</w:t>
      </w:r>
      <w:r>
        <w:rPr>
          <w:rFonts w:ascii="Times New Roman" w:cs="Times New Roman" w:eastAsia="Times New Roman" w:hAnsi="Times New Roman"/>
          <w:sz w:val="18"/>
          <w:szCs w:val="18"/>
          <w:color w:val="auto"/>
        </w:rPr>
        <w:t xml:space="preserve"> include Hexagon AB and AVEVA Group plc;</w:t>
      </w:r>
    </w:p>
    <w:p>
      <w:pPr>
        <w:spacing w:after="0" w:line="103" w:lineRule="exact"/>
        <w:rPr>
          <w:rFonts w:ascii="Times New Roman" w:cs="Times New Roman" w:eastAsia="Times New Roman" w:hAnsi="Times New Roman"/>
          <w:sz w:val="18"/>
          <w:szCs w:val="18"/>
          <w:color w:val="auto"/>
        </w:rPr>
      </w:pPr>
    </w:p>
    <w:p>
      <w:pPr>
        <w:ind w:left="1800" w:right="779" w:hanging="178"/>
        <w:spacing w:after="0" w:line="28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commercial/facilities applications</w:t>
      </w:r>
      <w:r>
        <w:rPr>
          <w:rFonts w:ascii="Times New Roman" w:cs="Times New Roman" w:eastAsia="Times New Roman" w:hAnsi="Times New Roman"/>
          <w:sz w:val="18"/>
          <w:szCs w:val="18"/>
          <w:color w:val="auto"/>
        </w:rPr>
        <w:t xml:space="preserve"> include Autodesk Inc., Nemetschek SE, and Trimble, Inc.;</w:t>
      </w:r>
    </w:p>
    <w:p>
      <w:pPr>
        <w:spacing w:after="0" w:line="46" w:lineRule="exact"/>
        <w:rPr>
          <w:rFonts w:ascii="Times New Roman" w:cs="Times New Roman" w:eastAsia="Times New Roman" w:hAnsi="Times New Roman"/>
          <w:sz w:val="18"/>
          <w:szCs w:val="18"/>
          <w:color w:val="auto"/>
        </w:rPr>
      </w:pPr>
    </w:p>
    <w:p>
      <w:pPr>
        <w:ind w:left="1800" w:right="859" w:hanging="178"/>
        <w:spacing w:after="0" w:line="28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project lifecycle systems</w:t>
      </w:r>
      <w:r>
        <w:rPr>
          <w:rFonts w:ascii="Times New Roman" w:cs="Times New Roman" w:eastAsia="Times New Roman" w:hAnsi="Times New Roman"/>
          <w:sz w:val="18"/>
          <w:szCs w:val="18"/>
          <w:color w:val="auto"/>
        </w:rPr>
        <w:t xml:space="preserve"> include Autodesk, Inc. and Oracle Corporation with their Primavera P6 and Aconex offerings; and</w:t>
      </w:r>
    </w:p>
    <w:p>
      <w:pPr>
        <w:spacing w:after="0" w:line="46" w:lineRule="exact"/>
        <w:rPr>
          <w:rFonts w:ascii="Times New Roman" w:cs="Times New Roman" w:eastAsia="Times New Roman" w:hAnsi="Times New Roman"/>
          <w:sz w:val="18"/>
          <w:szCs w:val="18"/>
          <w:color w:val="auto"/>
        </w:rPr>
      </w:pPr>
    </w:p>
    <w:p>
      <w:pPr>
        <w:ind w:left="1800" w:right="1019" w:hanging="178"/>
        <w:spacing w:after="0" w:line="28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asset lifecycle systems</w:t>
      </w:r>
      <w:r>
        <w:rPr>
          <w:rFonts w:ascii="Times New Roman" w:cs="Times New Roman" w:eastAsia="Times New Roman" w:hAnsi="Times New Roman"/>
          <w:sz w:val="18"/>
          <w:szCs w:val="18"/>
          <w:color w:val="auto"/>
        </w:rPr>
        <w:t xml:space="preserve"> include Aspen Technology, Inc., AVEVA Group plc, Environmental Systems Research Institute, Inc., and General Electric Corp.</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affecting our market include:</w:t>
      </w:r>
    </w:p>
    <w:p>
      <w:pPr>
        <w:spacing w:after="0" w:line="117" w:lineRule="exact"/>
        <w:rPr>
          <w:sz w:val="20"/>
          <w:szCs w:val="20"/>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performance, and effectiveness;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security;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breadth, depth, and continuity;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offerings across disciplines and infrastructure sectors;</w:t>
      </w:r>
    </w:p>
    <w:p>
      <w:pPr>
        <w:spacing w:after="0" w:line="117" w:lineRule="exact"/>
        <w:rPr>
          <w:rFonts w:ascii="Times New Roman" w:cs="Times New Roman" w:eastAsia="Times New Roman" w:hAnsi="Times New Roman"/>
          <w:sz w:val="18"/>
          <w:szCs w:val="18"/>
          <w:color w:val="auto"/>
        </w:rPr>
      </w:pPr>
    </w:p>
    <w:p>
      <w:pPr>
        <w:ind w:left="1800" w:right="1319" w:hanging="178"/>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 by and endorsement of infrastructure owners, and degree of adoption across the relevant supply chain;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and loyalty by professionals throughout their training and careers;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other technology;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to operate at scale;</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capabilities for configurability and APIs;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efficient workflows;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commercial model, and total cost of use;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industry standards;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Sales and Marketing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92% of our 2019 revenues. Our direct sales channel includes:</w:t>
      </w:r>
    </w:p>
    <w:p>
      <w:pPr>
        <w:spacing w:after="0" w:line="99" w:lineRule="exact"/>
        <w:rPr>
          <w:sz w:val="20"/>
          <w:szCs w:val="20"/>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Account Managers, who are responsible for our largest accounts;</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Specialists, who are responsible for servicing small-to mid-sized (“commercial”) accounts in territories defined by geography and product lines; and</w:t>
      </w:r>
    </w:p>
    <w:p>
      <w:pPr>
        <w:spacing w:after="0" w:line="53" w:lineRule="exact"/>
        <w:rPr>
          <w:rFonts w:ascii="Times New Roman" w:cs="Times New Roman" w:eastAsia="Times New Roman" w:hAnsi="Times New Roman"/>
          <w:sz w:val="18"/>
          <w:szCs w:val="18"/>
          <w:color w:val="auto"/>
        </w:rPr>
      </w:pPr>
    </w:p>
    <w:p>
      <w:pPr>
        <w:ind w:left="1800" w:right="1319" w:hanging="178"/>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Specialists, who are technical experts in a specific product line who work with Corporate Account Managers and Inside Sales Specialists.</w:t>
      </w:r>
    </w:p>
    <w:p>
      <w:pPr>
        <w:spacing w:after="0" w:line="94" w:lineRule="exact"/>
        <w:rPr>
          <w:sz w:val="20"/>
          <w:szCs w:val="20"/>
          <w:color w:val="auto"/>
        </w:rPr>
      </w:pPr>
    </w:p>
    <w:p>
      <w:pPr>
        <w:ind w:left="1260" w:right="999" w:firstLine="360"/>
        <w:spacing w:after="0" w:line="254" w:lineRule="auto"/>
        <w:rPr>
          <w:sz w:val="20"/>
          <w:szCs w:val="20"/>
          <w:color w:val="auto"/>
        </w:rPr>
      </w:pPr>
      <w:r>
        <w:rPr>
          <w:rFonts w:ascii="Times New Roman" w:cs="Times New Roman" w:eastAsia="Times New Roman" w:hAnsi="Times New Roman"/>
          <w:sz w:val="18"/>
          <w:szCs w:val="18"/>
          <w:color w:val="auto"/>
        </w:rPr>
        <w:t>We rely on specialist channel partners in geographic regions where we do not currently have a meaningful presence and where, for many of our offerings, direct sales efforts are less economically feasible. Channel partners accounted for approximately 8% of 2019 revenue. We are establishing digital integrators such as Digital Construction Works to serve as global channel partners. In addition, we have established a new business endeavor, DXW+, which offers practitioner subscriptions that include virtual support and advice from DXW’s engineering experts. DXW+ is available in selected and expanding geographies, and for individual professionals in any organization. We also benefit from additional sales resources and coverage from our digital co-venturers through various forms, including bundles of our offerings with theirs.</w:t>
      </w:r>
    </w:p>
    <w:p>
      <w:pPr>
        <w:spacing w:after="0" w:line="340"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pacing w:after="0" w:line="32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system offerings,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generally sold through either proactive proposals or responses to RFPs, so sales cycles for those offerings range from months to several quarters. We have a comprehensive global proposals team to assure appropriate business development resources are allocated, to quality-assure efficient and effective proposal contents, and to maximize the capture ratio for our proposal pursuit.</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marketing functions include:</w:t>
      </w:r>
    </w:p>
    <w:p>
      <w:pPr>
        <w:spacing w:after="0" w:line="115" w:lineRule="exact"/>
        <w:rPr>
          <w:sz w:val="20"/>
          <w:szCs w:val="20"/>
          <w:color w:val="auto"/>
        </w:rPr>
      </w:pPr>
    </w:p>
    <w:p>
      <w:pPr>
        <w:jc w:val="both"/>
        <w:ind w:left="1800" w:right="1139" w:hanging="178"/>
        <w:spacing w:after="0" w:line="267"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marketing</w:t>
      </w:r>
      <w:r>
        <w:rPr>
          <w:rFonts w:ascii="Times New Roman" w:cs="Times New Roman" w:eastAsia="Times New Roman" w:hAnsi="Times New Roman"/>
          <w:sz w:val="18"/>
          <w:szCs w:val="18"/>
          <w:color w:val="auto"/>
        </w:rPr>
        <w:t>, to build brand awareness, brand equity, and thought leadership,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corporate events and programs covering industry trends and challenges, and to conduct market research and industry studies;</w:t>
      </w:r>
    </w:p>
    <w:p>
      <w:pPr>
        <w:spacing w:after="0" w:line="65" w:lineRule="exact"/>
        <w:rPr>
          <w:rFonts w:ascii="Times New Roman" w:cs="Times New Roman" w:eastAsia="Times New Roman" w:hAnsi="Times New Roman"/>
          <w:sz w:val="18"/>
          <w:szCs w:val="18"/>
          <w:color w:val="auto"/>
        </w:rPr>
      </w:pPr>
    </w:p>
    <w:p>
      <w:pPr>
        <w:ind w:left="1800" w:right="719" w:hanging="178"/>
        <w:spacing w:after="0" w:line="260"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and product marketing</w:t>
      </w:r>
      <w:r>
        <w:rPr>
          <w:rFonts w:ascii="Times New Roman" w:cs="Times New Roman" w:eastAsia="Times New Roman" w:hAnsi="Times New Roman"/>
          <w:sz w:val="18"/>
          <w:szCs w:val="18"/>
          <w:color w:val="auto"/>
        </w:rPr>
        <w:t>, for demand generation through digital marketing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website, Internet advertising, webinars, and virtual events, and paid and organic social media, and though traditional marketing channels such as trade print advertising, press releases, editorial placements, industry-specific trade shows and conferences, in-person seminars, and locally-sponsored events; and</w:t>
      </w:r>
    </w:p>
    <w:p>
      <w:pPr>
        <w:spacing w:after="0" w:line="30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regional marketing</w:t>
      </w:r>
      <w:r>
        <w:rPr>
          <w:rFonts w:ascii="Times New Roman" w:cs="Times New Roman" w:eastAsia="Times New Roman" w:hAnsi="Times New Roman"/>
          <w:sz w:val="18"/>
          <w:szCs w:val="18"/>
          <w:color w:val="auto"/>
        </w:rPr>
        <w:t>, to localize and deliver our marketing programs throughout the world.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We also invest in our annual Year in Infrastructure Conference, which brings together leading infrastructure thought leaders from around the world for presentations on innovative projects, to learn about the latest advances to our applications and cloud offerings, and to network and share best practices. Our associated Year in Infrastructure Awards, which in 2019 attracted over 500 project nominations from our accounts and are judged by independent juries in approximately 20 categories for going digital in infrastructure engineering.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Research and Development</w:t>
      </w:r>
    </w:p>
    <w:p>
      <w:pPr>
        <w:spacing w:after="0" w:line="14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120"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We had approximately 1,500 colleagues engaged globally in software research and development as of December 31, 2019. Each of our product advancement groups for Design Integration, Project Delivery, Asset and Network Performance, and Digital Cities have research and development resources and responsibilities. Our iTwin Services group consists of over 275 colleagues and is entirely devoted to the rapid development of new and incremental cloud-native services for infrastructure digital twins. Our separate Chief Technology Office assesses the potential of new software technologies and sources.</w:t>
      </w:r>
    </w:p>
    <w:p>
      <w:pPr>
        <w:spacing w:after="0" w:line="120"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As part of our resource allocation process, we also conduct a cost-benefit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106"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2017, 2018, and 2019, and for the six months ended June 30, 2020, our research and development spending was $151.2 million, $175.0 million, $183.6 million, and</w:t>
      </w:r>
    </w:p>
    <w:p>
      <w:pPr>
        <w:ind w:left="1260" w:right="1019"/>
        <w:spacing w:after="0" w:line="260" w:lineRule="auto"/>
        <w:rPr>
          <w:sz w:val="20"/>
          <w:szCs w:val="20"/>
          <w:color w:val="auto"/>
        </w:rPr>
      </w:pPr>
      <w:r>
        <w:rPr>
          <w:rFonts w:ascii="Times New Roman" w:cs="Times New Roman" w:eastAsia="Times New Roman" w:hAnsi="Times New Roman"/>
          <w:sz w:val="18"/>
          <w:szCs w:val="18"/>
          <w:color w:val="auto"/>
        </w:rPr>
        <w:t>$89.4 million, respectively, and as a percentage of total revenues was 24.0%, 25.3%, 24.9%, and 23.6%,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Digital co-ventures</w:t>
      </w:r>
    </w:p>
    <w:p>
      <w:pPr>
        <w:spacing w:after="0" w:line="160" w:lineRule="exact"/>
        <w:rPr>
          <w:sz w:val="20"/>
          <w:szCs w:val="20"/>
          <w:color w:val="auto"/>
        </w:rPr>
      </w:pPr>
    </w:p>
    <w:p>
      <w:pPr>
        <w:jc w:val="both"/>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In 2019, we and Topcon created an equally-owned joint venture, Digital Construction Works, Inc. to serve as a digital integrator for major construction projects and related enterprises. We and Topcon each contributed experienced colleagues in addition to the required capital commitments.</w:t>
      </w:r>
    </w:p>
    <w:p>
      <w:pPr>
        <w:spacing w:after="0" w:line="10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As part of our co-venturing with Siemens, we undertake a program of joint research and development investment in which each company bears its own costs. These investments have led to jointly offered cloud services for infrastructure digital twins, some of which are already commercially available. We and Siemens have committed to a cumulative investment of over €100 million to fund the joint innovation investment program.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Talent and Our Values</w:t>
      </w:r>
    </w:p>
    <w:p>
      <w:pPr>
        <w:spacing w:after="0" w:line="14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As of June 30, 2020, we had 4,010 full-time colleagues. Our colleagues are located in 42 countries, including 1,568 in the Americas, 1,183 in EMEA, and 1,259 in APAC. We embrace diversity among our colleagues, who collectively bring 64 languages to fulfill the needs of our globally dispersed accounts and users. Our colleagues are highly qualified with an average of seven years of total service with the Company and advanced academic credentials, including 90 doctoral degrees and 1,046 master’s-level degrees.</w:t>
      </w:r>
    </w:p>
    <w:p>
      <w:pPr>
        <w:spacing w:after="0" w:line="116" w:lineRule="exact"/>
        <w:rPr>
          <w:sz w:val="20"/>
          <w:szCs w:val="20"/>
          <w:color w:val="auto"/>
        </w:rPr>
      </w:pPr>
    </w:p>
    <w:p>
      <w:pPr>
        <w:jc w:val="both"/>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key to our mission and key to our success in competing to attract and retain highly talented colleagues. Our culture and values include a motivation to make an impact on the world’s infrastructure to improve quality of life, a passion to solve our users’ challenging problems through innovation and creativity, a desire to connect and collaborate, and a commitment to deliver on our promises.</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In addition to competitive compensation and benefit programs, we support our colleagues’ interests in their communities with civic outreach and corporate giving matching programs, as well as an annual stipend for every colleague globally to support their choice of investment in Science, Technology, Engineering, and Math (STEM) programs.</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None of our colleagues in the United States is covered by a collective bargaining agreement. We have never experienced a strike or similar work stoppage, and we consider our relations with our colleagues to be favorable.</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Intellectual Property</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know-how. Nevertheless, we rely on a combination of copyrights, patents, trademarks, and trade secrets in the United States and other jurisdictions to secure our intellectual property, and we use contractual provisions and non -disclosure agreements to protect it. As of December 31, 2019, we had 116 patents granted and 53 patents pending in the United States, the first of which expired on May 24, 2020, and 21 patents granted and 33 patents pending internationally, the first of which expires on August 14, 2022. In addition, from time to time we enter into collaboration arrangements and in-bound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120" w:lineRule="exact"/>
        <w:rPr>
          <w:sz w:val="20"/>
          <w:szCs w:val="20"/>
          <w:color w:val="auto"/>
        </w:rPr>
      </w:pPr>
    </w:p>
    <w:p>
      <w:pPr>
        <w:jc w:val="both"/>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patents cover systems and methods relating to various aspects of software for infrastructure design and modeling, collaboration and work 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10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To innovate and increase our strategic position, our software developers are incentivized to alert our internal patent committee to innovations that might be patentable or of strategic value. In 2019, our patent committee reviewed 20 invention disclosures submitted by our software developers, and filed 25 U.S. and eight foreign patent applications, while 16 U.S. and three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129 trademarks, including “Bentley,” “MicroStation,” “AssetWise,” and “ProjectWise,” with the U.S. Patent and Trademark Office and in several jurisdictions outside the United States.</w:t>
      </w:r>
    </w:p>
    <w:p>
      <w:pPr>
        <w:spacing w:after="0" w:line="315"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names, logos, website names, and addresses are owned by us or licensed by us. This prospectus contains trademarks, trade names, and service marks of other companies, which are the property of their respective owners. Solely for convenience, trademarks, and trade names referred to in this prospectus may appear without the ®,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Facilities</w:t>
      </w:r>
    </w:p>
    <w:p>
      <w:pPr>
        <w:spacing w:after="0" w:line="16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Our corporate headquarters are located in Exton, Pennsylvania and consist of 107,051 square feet of office space, 76,392 square feet of which we own. Our lease for the remainder expires in 2025. Our headquarters accommodates our principal software engineering, sales, marketing professional services, and administrative activities. For more information, see Note 5 to our consolidated financial statements included elsewhere in this prospectus. In addition to our headquarters, we own one other location in India, which is</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59"/>
        <w:spacing w:after="0" w:line="282" w:lineRule="auto"/>
        <w:rPr>
          <w:sz w:val="20"/>
          <w:szCs w:val="20"/>
          <w:color w:val="auto"/>
        </w:rPr>
      </w:pPr>
      <w:r>
        <w:rPr>
          <w:rFonts w:ascii="Times New Roman" w:cs="Times New Roman" w:eastAsia="Times New Roman" w:hAnsi="Times New Roman"/>
          <w:sz w:val="18"/>
          <w:szCs w:val="18"/>
          <w:color w:val="auto"/>
        </w:rPr>
        <w:t>used for office space, for an aggregate total, including our headquarters, of 106,392 square feet of real property owned by us. We lease facilities in an additional 96 locations across 36 countries.</w:t>
      </w:r>
    </w:p>
    <w:p>
      <w:pPr>
        <w:spacing w:after="0" w:line="81"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cash flows, or results of operations. We currently believe that we do not have any material litigation pending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titles of our executive officers, directors and director nominee as of the date of this prospectus: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52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4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Technology Officer and Director</w:t>
            </w:r>
          </w:p>
        </w:tc>
      </w:tr>
      <w:tr>
        <w:trPr>
          <w:trHeight w:val="30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J. Bentley, Ph.D.</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B.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r>
        <w:trPr>
          <w:trHeight w:val="270"/>
        </w:trPr>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Kirk B. Griswold</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Brian F. Hughes</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B. Haugen</w:t>
            </w:r>
            <w:r>
              <w:rPr>
                <w:rFonts w:ascii="Times New Roman" w:cs="Times New Roman" w:eastAsia="Times New Roman" w:hAnsi="Times New Roman"/>
                <w:sz w:val="26"/>
                <w:szCs w:val="26"/>
                <w:color w:val="auto"/>
                <w:vertAlign w:val="superscript"/>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Chief Operations Advancement Officer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Shaman</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58"/>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 member of the Audit Committee upon the consummation of this offering.</w:t>
      </w:r>
    </w:p>
    <w:p>
      <w:pPr>
        <w:spacing w:after="0" w:line="144"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The following includes a brief biography for each of our executive officers, directors and director nominee, with each director and director nominee biography including information regarding the experiences, qualifications, attributes or skills that caused our board of directors to determine that each member of our board of directors and director nominee should serve as a director as of the date of this prospectus.</w:t>
      </w:r>
    </w:p>
    <w:p>
      <w:pPr>
        <w:spacing w:after="0" w:line="11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Bentley </w:t>
      </w:r>
      <w:r>
        <w:rPr>
          <w:rFonts w:ascii="Times New Roman" w:cs="Times New Roman" w:eastAsia="Times New Roman" w:hAnsi="Times New Roman"/>
          <w:sz w:val="18"/>
          <w:szCs w:val="18"/>
          <w:color w:val="auto"/>
        </w:rPr>
        <w:t>has served as President and Chairman of our board of directors since June 1996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August 2000.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 He is a trustee of Drexel University.</w:t>
      </w:r>
    </w:p>
    <w:p>
      <w:pPr>
        <w:spacing w:after="0" w:line="340"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extensive and valuable business and managerial perspective he has and his significant experience in the software technology industry, together with a deep understanding of our history and commitment to the markets we serve.</w:t>
      </w:r>
    </w:p>
    <w:p>
      <w:pPr>
        <w:spacing w:after="0" w:line="95"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A. Bentley </w:t>
      </w:r>
      <w:r>
        <w:rPr>
          <w:rFonts w:ascii="Times New Roman" w:cs="Times New Roman" w:eastAsia="Times New Roman" w:hAnsi="Times New Roman"/>
          <w:sz w:val="18"/>
          <w:szCs w:val="18"/>
          <w:color w:val="auto"/>
        </w:rPr>
        <w:t>co-founded our Company and has served as a director since our inception in 1984.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Company’s President from 1984 to 1995 and as the Chief Executive Officer from 1984 to 2000. He currently serves as Chief Technology Officer, a position he has held since 2000. He holds a Bachelor’s degree in electrical engineering from the University of Delaware and an M.S. in electrical engineering from the University of Florida.</w:t>
      </w:r>
    </w:p>
    <w:p>
      <w:pPr>
        <w:spacing w:after="0" w:line="11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perspective and experience he brings as one of our co-founders and our Chief Technology Officer, and his experience in the software industry, especially as it relates to our technology and solutions.</w:t>
      </w:r>
    </w:p>
    <w:p>
      <w:pPr>
        <w:spacing w:after="0" w:line="104"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Barry J. Bentley, Ph.D. </w:t>
      </w:r>
      <w:r>
        <w:rPr>
          <w:rFonts w:ascii="Times New Roman" w:cs="Times New Roman" w:eastAsia="Times New Roman" w:hAnsi="Times New Roman"/>
          <w:sz w:val="18"/>
          <w:szCs w:val="18"/>
          <w:color w:val="auto"/>
        </w:rPr>
        <w:t>co-founded our Company and has served as a director since 1984 and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from 1984 through 2019. From September 1984 to June 1996, Dr. Bentley served as Chairman of our board of directors. Prior to co-founding our Company, in 1979, he co-founded and served as Vice President of Dynamic Solutions Corporation, a software firm. Dr. Bentley is one of the originators of MicroStation and was continuously involved in the planning and development of our software solutions</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50" w:lineRule="auto"/>
        <w:rPr>
          <w:sz w:val="20"/>
          <w:szCs w:val="20"/>
          <w:color w:val="auto"/>
        </w:rPr>
      </w:pPr>
      <w:r>
        <w:rPr>
          <w:rFonts w:ascii="Times New Roman" w:cs="Times New Roman" w:eastAsia="Times New Roman" w:hAnsi="Times New Roman"/>
          <w:sz w:val="18"/>
          <w:szCs w:val="18"/>
          <w:color w:val="auto"/>
        </w:rPr>
        <w:t>and technology since our inception through 2019. He holds a Bachelor’s degree in chemical engineering from the University of Delaware and an M.S. and Ph.D. in chemical engineering from the California Institute of Technology.</w:t>
      </w:r>
    </w:p>
    <w:p>
      <w:pPr>
        <w:spacing w:after="0" w:line="96"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We believe that Dr. Bentley is qualified to serve as a member of our board of directors due to his deep knowledge and understanding of the Company’s technology, history, and mission as one of our co-founders, as well as his experience in the software industry.</w:t>
      </w:r>
    </w:p>
    <w:p>
      <w:pPr>
        <w:spacing w:after="0" w:line="105"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B. Bentley </w:t>
      </w:r>
      <w:r>
        <w:rPr>
          <w:rFonts w:ascii="Times New Roman" w:cs="Times New Roman" w:eastAsia="Times New Roman" w:hAnsi="Times New Roman"/>
          <w:sz w:val="18"/>
          <w:szCs w:val="18"/>
          <w:color w:val="auto"/>
        </w:rPr>
        <w:t>has served as a director since May 2015 and has served as an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since 1984. He was the lead developer for MicroStation and chief architect in the core-graphics group. He holds a Bachelor’s degree in mechanical engineering from Rensselaer Polytechnic Institute and an M.S. in computer engineering from the University of Cincinnati.</w:t>
      </w:r>
    </w:p>
    <w:p>
      <w:pPr>
        <w:spacing w:after="0" w:line="114" w:lineRule="exact"/>
        <w:rPr>
          <w:sz w:val="20"/>
          <w:szCs w:val="20"/>
          <w:color w:val="auto"/>
        </w:rPr>
      </w:pPr>
    </w:p>
    <w:p>
      <w:pPr>
        <w:jc w:val="both"/>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his vast experience with our technology and the software industry, and for the business perspective he brings to the board.</w:t>
      </w:r>
    </w:p>
    <w:p>
      <w:pPr>
        <w:spacing w:after="0" w:line="9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Kirk B. Griswold </w:t>
      </w:r>
      <w:r>
        <w:rPr>
          <w:rFonts w:ascii="Times New Roman" w:cs="Times New Roman" w:eastAsia="Times New Roman" w:hAnsi="Times New Roman"/>
          <w:sz w:val="18"/>
          <w:szCs w:val="18"/>
          <w:color w:val="auto"/>
        </w:rPr>
        <w:t>has served as a director since 2002. He is a Founding Partner of Argosy Capital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private equity and real estate firm. He holds a Bachelor’s degree in Physics from the University of Virginia and an M.B.A. with a dual major in Finance and Management from the Wharton School, University of Pennsylvania.</w:t>
      </w:r>
    </w:p>
    <w:p>
      <w:pPr>
        <w:spacing w:after="0" w:line="114" w:lineRule="exact"/>
        <w:rPr>
          <w:sz w:val="20"/>
          <w:szCs w:val="20"/>
          <w:color w:val="auto"/>
        </w:rPr>
      </w:pPr>
    </w:p>
    <w:p>
      <w:pPr>
        <w:jc w:val="both"/>
        <w:ind w:left="1260" w:right="105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Griswold is qualified to serve as a member of our board of directors due to his extensive experience in engineering, project management, and consulting, as well as his knowledge and experience in finance.</w:t>
      </w:r>
    </w:p>
    <w:p>
      <w:pPr>
        <w:spacing w:after="0" w:line="105"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Brian F. Hughes </w:t>
      </w:r>
      <w:r>
        <w:rPr>
          <w:rFonts w:ascii="Times New Roman" w:cs="Times New Roman" w:eastAsia="Times New Roman" w:hAnsi="Times New Roman"/>
          <w:sz w:val="18"/>
          <w:szCs w:val="18"/>
          <w:color w:val="auto"/>
        </w:rPr>
        <w:t>has served as a director since February 2020. He retired from KPMG LLP in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was a partner from 2002 to 2019, serving as National Private Markets Group Leader from 2012 to 2019, National Co-Leader of KPMG’s venture capital practice from 2009 to 2019, and the practice leader of the Technology and Venture Capital group of KPMG’s Philadelphia office from 2002 to 2009. He began his career in 1981 at Arthur Andersen where he was elected partner in 1993. Mr. Hughes holds a B.S. in Economics and Accounting from the Wharton School, University of Pennsylvania and an M.B.A. from the Wharton School, University of Pennsylvania. He is also a licensed CPA.</w:t>
      </w:r>
    </w:p>
    <w:p>
      <w:pPr>
        <w:spacing w:after="0" w:line="108" w:lineRule="exact"/>
        <w:rPr>
          <w:sz w:val="20"/>
          <w:szCs w:val="20"/>
          <w:color w:val="auto"/>
        </w:rPr>
      </w:pPr>
    </w:p>
    <w:p>
      <w:pPr>
        <w:jc w:val="both"/>
        <w:ind w:left="1260" w:right="119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Hughes is qualified to serve as a member of our board of directors due to his extensive financial and accounting experience with both private and public companies, as well as his understanding of public company audit and governance requirements and responsibilities.</w:t>
      </w:r>
    </w:p>
    <w:p>
      <w:pPr>
        <w:spacing w:after="0" w:line="105"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Janet B. Haugen </w:t>
      </w:r>
      <w:r>
        <w:rPr>
          <w:rFonts w:ascii="Times New Roman" w:cs="Times New Roman" w:eastAsia="Times New Roman" w:hAnsi="Times New Roman"/>
          <w:sz w:val="18"/>
          <w:szCs w:val="18"/>
          <w:color w:val="auto"/>
        </w:rPr>
        <w:t>is a nominee to our board of directors and Audit Committee, whose formal election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occur upon the consummation of this offering. She previously served as the Senior Vice President and Chief Financial Officer of Unisys Corporation from April 2000 to November 2016. She also held positions as Vice President, Controller and Acting Chief Financial Officer of Unisys between April 1996 and</w:t>
      </w:r>
    </w:p>
    <w:p>
      <w:pPr>
        <w:spacing w:after="0" w:line="3" w:lineRule="exact"/>
        <w:rPr>
          <w:sz w:val="20"/>
          <w:szCs w:val="20"/>
          <w:color w:val="auto"/>
        </w:rPr>
      </w:pPr>
    </w:p>
    <w:p>
      <w:pPr>
        <w:ind w:left="1260" w:right="719"/>
        <w:spacing w:after="0" w:line="251" w:lineRule="auto"/>
        <w:rPr>
          <w:sz w:val="20"/>
          <w:szCs w:val="20"/>
          <w:color w:val="auto"/>
        </w:rPr>
      </w:pPr>
      <w:r>
        <w:rPr>
          <w:rFonts w:ascii="Times New Roman" w:cs="Times New Roman" w:eastAsia="Times New Roman" w:hAnsi="Times New Roman"/>
          <w:sz w:val="18"/>
          <w:szCs w:val="18"/>
          <w:color w:val="auto"/>
        </w:rPr>
        <w:t>April 2000. Prior to joining Unisys, she held positions at Ernst &amp; Young from 1980 to 1996, including as an audit partner from 1993 to 1996. She currently serves on the board of directors, Audit Committee Chair and a member of the Compensation Committee of Paycom Software, Inc., a provider of comprehensive, cloud-based human capital management software, a position she has held since February 2018. Since May 2019 she has served on the board of directors of Juniper Networks, Inc., which designs, develops and sells high-performance network technology products and services, and as chair of the Audit Committee since February 2020. She also served on the board of directors and chair of the audit committee of SunGard Data Systems Inc., a software and services company, from 2002 to 2005.</w:t>
      </w:r>
    </w:p>
    <w:p>
      <w:pPr>
        <w:spacing w:after="0" w:line="12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believe that Ms. Haugen is qualified to serve on our board due to her extensive leadership experience as an executive, financial expertise and public company governance experience as a current and prior member of the board of directors and audit committee chair of other public technology companies.</w:t>
      </w:r>
    </w:p>
    <w:p>
      <w:pPr>
        <w:spacing w:after="0" w:line="91" w:lineRule="exact"/>
        <w:rPr>
          <w:sz w:val="20"/>
          <w:szCs w:val="20"/>
          <w:color w:val="auto"/>
        </w:rPr>
      </w:pPr>
    </w:p>
    <w:p>
      <w:pPr>
        <w:ind w:left="1260" w:right="7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 Hollister </w:t>
      </w:r>
      <w:r>
        <w:rPr>
          <w:rFonts w:ascii="Times New Roman" w:cs="Times New Roman" w:eastAsia="Times New Roman" w:hAnsi="Times New Roman"/>
          <w:sz w:val="18"/>
          <w:szCs w:val="18"/>
          <w:color w:val="auto"/>
        </w:rPr>
        <w:t>has served as our Chief Financial Officer since 2007. In addition to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leadership, Mr. Hollister is responsible for various aspects of our operations, including our IT and cloud hosting operations, financial operations, business intelligence, and portfolio development activities, including mergers and acquisitions and accelerated commercial development. Prior to joining our Company,</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2" w:lineRule="auto"/>
        <w:rPr>
          <w:sz w:val="20"/>
          <w:szCs w:val="20"/>
          <w:color w:val="auto"/>
        </w:rPr>
      </w:pPr>
      <w:r>
        <w:rPr>
          <w:rFonts w:ascii="Times New Roman" w:cs="Times New Roman" w:eastAsia="Times New Roman" w:hAnsi="Times New Roman"/>
          <w:sz w:val="18"/>
          <w:szCs w:val="18"/>
          <w:color w:val="auto"/>
        </w:rPr>
        <w:t>he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100"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Shaman </w:t>
      </w:r>
      <w:r>
        <w:rPr>
          <w:rFonts w:ascii="Times New Roman" w:cs="Times New Roman" w:eastAsia="Times New Roman" w:hAnsi="Times New Roman"/>
          <w:sz w:val="18"/>
          <w:szCs w:val="18"/>
          <w:color w:val="auto"/>
        </w:rPr>
        <w:t>joined our Company in 1998 and has served as our Chief Legal Officer since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Shaman previously served as General Counsel from 2015 to 2016 and as Deputy General Counsel from 2006 to 2015. Prior to joining us, Mr. Shaman was an associate at the law firm Covington &amp; Burling LLP. Mr. Shaman’s international experience includes eight years leading the Company’s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Rules 5605 and 5615 of the Nasdaq Listing Rules require that independent directors compose a majority of a listed company’s board of directors within one year of listing. In addition, the Nasdaq Listing Rules require that, subject to specified exceptions, each member of a listed company’s audit committee be independent and also satisfy criteria set forth in Rule 10A-3 under the Exchange Act. Under Nasdaq Listing Rule 5605(a)(2), a director will only qualify as an “independent director” if, in the opinion of the board of directors,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302"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and director nominee concerning his or her background, employment and affiliations, including family and other relationships, including those relationships described in the section titled “Certain Relationships and Related Party Transactions,” our board of directors will have three independent directors. Our board of directors has determined that each of Kirk B. Griswold, Brian F. Hughes and Janet B. Haugen does not have a relationship that would interfere with the exercise of independent judgment in carrying out the responsibilities of a director and that he or she is “independent” as that term is defined under Rule 5605(a)</w:t>
      </w:r>
    </w:p>
    <w:p>
      <w:pPr>
        <w:spacing w:after="0" w:line="3" w:lineRule="exact"/>
        <w:rPr>
          <w:sz w:val="20"/>
          <w:szCs w:val="20"/>
          <w:color w:val="auto"/>
        </w:rPr>
      </w:pPr>
    </w:p>
    <w:p>
      <w:pPr>
        <w:ind w:left="1260" w:right="819" w:firstLine="2"/>
        <w:spacing w:after="0" w:line="252" w:lineRule="auto"/>
        <w:tabs>
          <w:tab w:leader="none" w:pos="152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Nasdaq Listing Rules. Although the Nasdaq Listing Rules require that a majority of the board of directors be independent, because we will be a “controlled company” within the meaning of the Nasdaq Listing Rules, we are permitted to, and have elected to, not comply with this requirement. In addition, although the Nasdaq Listing Rules require that each member of our audit committee be independent, under special phase-in rules applicable to newly public companies, we will have until one year from the effective date of the registration statement of which this prospectus forms a part to comply with this independence requirement.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a “controlled company” under the corporate governance rules of the Nasdaq Listing Rules because the Bentley Control Group controls a majority of the voting power of our outstanding capital stock. Therefore, we are not required to have a majority of our board of directors be independent, nor are we required to have a compensation committee or an independent nominating function. In light of our status as a controlled company, our board of directors has determined not to have a compensation committee or an independent nominating function and to have the full board of directors be directly responsible for reviewing and approving compensation and benefit arrangements for our executive officers and directors, as well as for nominating members of our board of directors. Additionally, as described in the section titled “Description of Capital Stock — Anti-Takeover Provisions — </w:t>
      </w:r>
      <w:r>
        <w:rPr>
          <w:rFonts w:ascii="Times New Roman" w:cs="Times New Roman" w:eastAsia="Times New Roman" w:hAnsi="Times New Roman"/>
          <w:sz w:val="18"/>
          <w:szCs w:val="18"/>
          <w:i w:val="1"/>
          <w:iCs w:val="1"/>
          <w:color w:val="auto"/>
        </w:rPr>
        <w:t>Certificate of Incorporation and 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so long as the outstanding shares of our Class A and Class B common stock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Bentley Family represent a majority of the combined voting power of our common stock, the Bentley Family will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be able to effectively control all matters submitted to our stockholders for a vote, as well as the overall management and direction of our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color w:val="auto"/>
        </w:rPr>
        <w:t>We did not have a compensation committee during the last completed fiscal year and compensation of our executive officers was determined by our board of directors during the last completed fiscal year. None of our executive officers currently serves, or in the past year has served, as a member of the board of directors or compensation committee of any entity that has one or more executive officers serving on our board of directors.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w:t>
      </w:r>
    </w:p>
    <w:p>
      <w:pPr>
        <w:spacing w:after="0" w:line="27"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color w:val="auto"/>
        </w:rPr>
        <w:t>Messrs. Gregory S., Keith A., and Raymond B. Bentley, each of whom is a director and executive officer of our Company, and Dr. Barry J. Bentley, a director of our Company, are brothers.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left="1260" w:right="1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 upon the Effectiveness of the Registration Statement of which this Prospectus Forms a Part</w:t>
      </w:r>
    </w:p>
    <w:p>
      <w:pPr>
        <w:spacing w:after="0" w:line="91"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Our amended and restated by-laws provide that the number of directors will be determined from time to time by resolution of our board of directors. Upon the effectiveness of the registration statement of which this prospectus forms a part, we will have six directors and by closing of this offering we will have seven directors.</w:t>
      </w:r>
    </w:p>
    <w:p>
      <w:pPr>
        <w:spacing w:after="0" w:line="319" w:lineRule="exact"/>
        <w:rPr>
          <w:sz w:val="20"/>
          <w:szCs w:val="20"/>
          <w:color w:val="auto"/>
        </w:rPr>
      </w:pPr>
    </w:p>
    <w:p>
      <w:pPr>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Upon election, each director is elected for a one-year term and serves until a successor is duly elected and qualified. Any additional directorships resulting from death, resignation, increase in the number of directors or otherwise may be filled for the unexpired term by a majority vote of the remaining directors then in office. Directors may be removed with or without cause by the affirmative vote of a majority of the combined vote of our then-outstanding shares of Class A and Class B common stock, voting together as a single class.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(the “Audit Committee”), which will have the composition and responsibilities described below, as of the effectiveness of the registration statement of which this prospectus forms a part. We believe that the composition of the Audit Committee meets the applicable independence requirements of the Nasdaq Listing Rules and Exchange Act rules, which permit us to phase in our compliance with such requirements as follows: (1) one independent member on the effective date of the registration statement of which this prospectus forms a part, (2) a majority of independent members within 90 days of the effective date of the registration statement of which this prospectus forms a part and (3) all independent members within one year of the effective date of the registration statement of which this prospectus forms a part.</w:t>
      </w:r>
    </w:p>
    <w:p>
      <w:pPr>
        <w:spacing w:after="0" w:line="121"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Following our listing, our Audit Committee will consist of Kirk B. Griswold, Brian F. Hughes and Janet B. Haugen, each of whom satisfies the independence requirements of the applicable Nasdaq Listing Rules and Exchange Act rules, and Barry J. Bentley. Brian F. Hughes will be the chair of our Audit Committee, and each of Kirk B. Griswold, Brian F. Hughes, Janet B. Haugen and Barry J. Bentley is an “audit committee financial expert,” as defined in Item 407(d)(5) of Regulation S-K, and possesses financial sophistication as required by the Nasdaq Listing Rules. This designation does not impose any duties, obligations or liabilities that are greater than those that are generally imposed on members of our Audit Committee and our board of directors. Members serve on this committee until their resignations or until otherwise determined by our board of directors. Barry. J. Bentley is expected to resign from the Audit Committee within one year of</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the effectiveness of the registration statement of which this prospectus forms a part in accordance with the applicable Nasdaq Listing Rules and Exchange Act rules.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will be responsible for, among other things:</w:t>
      </w:r>
    </w:p>
    <w:p>
      <w:pPr>
        <w:spacing w:after="0" w:line="117" w:lineRule="exact"/>
        <w:rPr>
          <w:sz w:val="20"/>
          <w:szCs w:val="20"/>
          <w:color w:val="auto"/>
        </w:rPr>
      </w:pPr>
    </w:p>
    <w:p>
      <w:pPr>
        <w:ind w:left="1800" w:right="839" w:hanging="178"/>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retention, termination, compensation, and oversight of the work of an independent public accounting firm to act as our independent auditors, as well as any other public accounting firm engaged to prepare or issue an audit report or other audit, review or attest services;</w:t>
      </w:r>
    </w:p>
    <w:p>
      <w:pPr>
        <w:spacing w:after="0" w:line="6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approving, in advance, all audit and permitted non-audit and tax services to be performed by our independent auditors;</w:t>
      </w:r>
    </w:p>
    <w:p>
      <w:pPr>
        <w:spacing w:after="0" w:line="53" w:lineRule="exact"/>
        <w:rPr>
          <w:rFonts w:ascii="Times New Roman" w:cs="Times New Roman" w:eastAsia="Times New Roman" w:hAnsi="Times New Roman"/>
          <w:sz w:val="18"/>
          <w:szCs w:val="18"/>
          <w:color w:val="auto"/>
        </w:rPr>
      </w:pPr>
    </w:p>
    <w:p>
      <w:pPr>
        <w:ind w:left="1800" w:right="759" w:hanging="178"/>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our financial reporting processes, internal control over financial reporting and disclosure controls and procedures and the audits of our financial statements;</w:t>
      </w:r>
    </w:p>
    <w:p>
      <w:pPr>
        <w:spacing w:after="0" w:line="67" w:lineRule="exact"/>
        <w:rPr>
          <w:rFonts w:ascii="Times New Roman" w:cs="Times New Roman" w:eastAsia="Times New Roman" w:hAnsi="Times New Roman"/>
          <w:sz w:val="18"/>
          <w:szCs w:val="18"/>
          <w:color w:val="auto"/>
        </w:rPr>
      </w:pPr>
    </w:p>
    <w:p>
      <w:pPr>
        <w:ind w:left="1800" w:right="759" w:hanging="178"/>
        <w:spacing w:after="0" w:line="263"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colleagues of concerns regarding questionable accounting or auditing matters;</w:t>
      </w:r>
    </w:p>
    <w:p>
      <w:pPr>
        <w:spacing w:after="0" w:line="291" w:lineRule="exact"/>
        <w:rPr>
          <w:rFonts w:ascii="Times New Roman" w:cs="Times New Roman" w:eastAsia="Times New Roman" w:hAnsi="Times New Roman"/>
          <w:sz w:val="18"/>
          <w:szCs w:val="18"/>
          <w:color w:val="auto"/>
        </w:rPr>
      </w:pPr>
    </w:p>
    <w:p>
      <w:pPr>
        <w:ind w:left="1800" w:right="1479" w:hanging="178"/>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matter brought to its attention within the scope of its duties and engaging independent counsel and other advisers as the Audit Committee deems necessary;</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of advisors hired by the Audit Committee;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financial statements prior to their release;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a formal written charter on an annual basis;</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 for potential conflict of interest situations on an ongoing basis;</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to the Company by monitoring, discussing, reviewing, or developing policies and procedures with respect to risk exposures, compliance with applicable laws and the Company’s policies and complaints regarding accounting or auditing matters; and</w:t>
      </w:r>
    </w:p>
    <w:p>
      <w:pPr>
        <w:spacing w:after="0" w:line="67"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of directors from time to time.</w:t>
      </w:r>
    </w:p>
    <w:p>
      <w:pPr>
        <w:spacing w:after="0" w:line="94"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Our board of directors will adopt a written charter for our Audit Committee, which will be available on our website upon effectiveness of the registration statement of which this prospectus forms a part. Such written charter for the Audit Committee will satisfy the applicable rules of the SEC and the listing standards of Nasdaq.</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ethical business conduct and have a code of conduct applicable to the conduct of our business by all of our colleagues, officers, and directors. Upon the effectiveness of the registration statement of which this prospectus forms a part, our code of conduct will be posted on our website, </w:t>
      </w:r>
      <w:r>
        <w:rPr>
          <w:rFonts w:ascii="Times New Roman" w:cs="Times New Roman" w:eastAsia="Times New Roman" w:hAnsi="Times New Roman"/>
          <w:sz w:val="18"/>
          <w:szCs w:val="18"/>
          <w:i w:val="1"/>
          <w:iCs w:val="1"/>
          <w:color w:val="auto"/>
        </w:rPr>
        <w:t>www.bentley.com</w:t>
      </w:r>
      <w:r>
        <w:rPr>
          <w:rFonts w:ascii="Times New Roman" w:cs="Times New Roman" w:eastAsia="Times New Roman" w:hAnsi="Times New Roman"/>
          <w:sz w:val="18"/>
          <w:szCs w:val="18"/>
          <w:color w:val="auto"/>
        </w:rPr>
        <w:t>. We intend to disclose future amendments to certain provisions of this code of conduct,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waivers of such provisions, applicable to any principal executive officer, principal financial officer, principal accounting officer or controller, or persons performing similar functions, and our directors, on our website.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4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whom we refer to as our “named executive officers.”</w:t>
      </w:r>
    </w:p>
    <w:p>
      <w:pPr>
        <w:spacing w:after="0" w:line="10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or fiscal year 2019, our named executive officers and their positions were as follows:</w:t>
      </w:r>
    </w:p>
    <w:p>
      <w:pPr>
        <w:spacing w:after="0" w:line="67" w:lineRule="exact"/>
        <w:rPr>
          <w:sz w:val="20"/>
          <w:szCs w:val="20"/>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S. Bentley, Chairman, Chief Executive Officer and President;</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A. Bentley, Chief Technology Officer and Director; and</w:t>
      </w:r>
    </w:p>
    <w:p>
      <w:pPr>
        <w:spacing w:after="0" w:line="15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Hollister, Chief Financial Officer and Chief Operations Advancement Officer.</w:t>
      </w:r>
    </w:p>
    <w:p>
      <w:pPr>
        <w:spacing w:after="0" w:line="158"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connection with or following the effectiveness of the registration statement of which this prospectus forms a part may differ materially from the currently planned programs summarized in this discussion.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that was awarded to, earned by, or paid to our named executive officers for services rendered during fiscal year 2019.</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spacing w:after="0"/>
              <w:rPr>
                <w:sz w:val="14"/>
                <w:szCs w:val="14"/>
                <w:color w:val="auto"/>
              </w:rPr>
            </w:pPr>
          </w:p>
        </w:tc>
      </w:tr>
      <w:tr>
        <w:trPr>
          <w:trHeight w:val="146"/>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Salary</w:t>
            </w:r>
          </w:p>
        </w:tc>
        <w:tc>
          <w:tcPr>
            <w:tcW w:w="7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40" w:type="dxa"/>
            <w:vAlign w:val="bottom"/>
          </w:tcPr>
          <w:p>
            <w:pPr>
              <w:jc w:val="right"/>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(1)</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(4)</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12,130,273</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23,842</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12,354,115</w:t>
            </w:r>
          </w:p>
        </w:tc>
      </w:tr>
      <w:tr>
        <w:trPr>
          <w:trHeight w:val="22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Chief Executive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President</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7,077,226</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21,972</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7,299,198</w:t>
            </w:r>
          </w:p>
        </w:tc>
      </w:tr>
      <w:tr>
        <w:trPr>
          <w:trHeight w:val="22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 and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7"/>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line="277" w:lineRule="exact"/>
              <w:rPr>
                <w:sz w:val="20"/>
                <w:szCs w:val="20"/>
                <w:color w:val="auto"/>
              </w:rPr>
            </w:pPr>
            <w:r>
              <w:rPr>
                <w:rFonts w:ascii="Times New Roman" w:cs="Times New Roman" w:eastAsia="Times New Roman" w:hAnsi="Times New Roman"/>
                <w:sz w:val="18"/>
                <w:szCs w:val="18"/>
                <w:color w:val="auto"/>
                <w:w w:val="92"/>
              </w:rPr>
              <w:t>1,000</w:t>
            </w:r>
            <w:r>
              <w:rPr>
                <w:rFonts w:ascii="Times New Roman" w:cs="Times New Roman" w:eastAsia="Times New Roman" w:hAnsi="Times New Roman"/>
                <w:sz w:val="26"/>
                <w:szCs w:val="26"/>
                <w:color w:val="auto"/>
                <w:w w:val="92"/>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4,045,398</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46,180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-1105535</wp:posOffset>
            </wp:positionV>
            <wp:extent cx="1371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-1105535</wp:posOffset>
            </wp:positionV>
            <wp:extent cx="1371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-1105535</wp:posOffset>
            </wp:positionV>
            <wp:extent cx="137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-1105535</wp:posOffset>
            </wp:positionV>
            <wp:extent cx="1371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-1105535</wp:posOffset>
            </wp:positionV>
            <wp:extent cx="1371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-1105535</wp:posOffset>
            </wp:positionV>
            <wp:extent cx="1371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Chief</w:t>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Operations Advancement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168910</wp:posOffset>
            </wp:positionV>
            <wp:extent cx="12344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0"/>
          <w:szCs w:val="20"/>
          <w:color w:val="auto"/>
        </w:rPr>
      </w:pPr>
    </w:p>
    <w:p>
      <w:pPr>
        <w:ind w:left="1620" w:hanging="358"/>
        <w:spacing w:after="0"/>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actual base salary earned by each named executive officer in fiscal year 2019.</w:t>
      </w:r>
    </w:p>
    <w:p>
      <w:pPr>
        <w:spacing w:after="0" w:line="90" w:lineRule="exact"/>
        <w:rPr>
          <w:rFonts w:ascii="Times New Roman" w:cs="Times New Roman" w:eastAsia="Times New Roman" w:hAnsi="Times New Roman"/>
          <w:sz w:val="18"/>
          <w:szCs w:val="18"/>
          <w:color w:val="auto"/>
        </w:rPr>
      </w:pPr>
    </w:p>
    <w:p>
      <w:pPr>
        <w:ind w:left="1620" w:right="679" w:hanging="358"/>
        <w:spacing w:after="0" w:line="282"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 one-time discretionary bonus paid to Mr. Hollister in fiscal 2019 in recognition of his contributions to us in fiscal year 2019.</w:t>
      </w:r>
    </w:p>
    <w:p>
      <w:pPr>
        <w:spacing w:after="0" w:line="13" w:lineRule="exact"/>
        <w:rPr>
          <w:rFonts w:ascii="Times New Roman" w:cs="Times New Roman" w:eastAsia="Times New Roman" w:hAnsi="Times New Roman"/>
          <w:sz w:val="18"/>
          <w:szCs w:val="18"/>
          <w:color w:val="auto"/>
        </w:rPr>
      </w:pPr>
    </w:p>
    <w:p>
      <w:pPr>
        <w:ind w:left="1620" w:right="679" w:hanging="358"/>
        <w:spacing w:after="0" w:line="256"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sum of the amount of $12,127,313, $7,074,266, and $4,042,438 paid pursuant to the Bentley Systems, Incorporated Bonus Pool Plan to Gregory S. Bentley, Keith A. Bentley, and David J. Hollister, respectively, and an additional $2,960 paid to each of these named executive officers pursuant to our global profit sharing plan, in each case with respect to fiscal year 2019. Please see the sections titled “2019 Bonuses — Bonus Pool Plan” and “2019 Bonuses — Global Profit Sharing Plan” below for further information.</w:t>
      </w:r>
    </w:p>
    <w:p>
      <w:pPr>
        <w:spacing w:after="0" w:line="38" w:lineRule="exact"/>
        <w:rPr>
          <w:rFonts w:ascii="Times New Roman" w:cs="Times New Roman" w:eastAsia="Times New Roman" w:hAnsi="Times New Roman"/>
          <w:sz w:val="18"/>
          <w:szCs w:val="18"/>
          <w:color w:val="auto"/>
        </w:rPr>
      </w:pPr>
    </w:p>
    <w:p>
      <w:pPr>
        <w:ind w:left="1620" w:right="739" w:hanging="358"/>
        <w:spacing w:after="0" w:line="256"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(i) for Gregory S. Bentley, a $15,000 per year vehicle allowance, a reimbursement of $8,618 in connection with accompanying spousal/dependent children travel, and $224 in company matching contributions to his account under our 401(k) plan; (ii) for Keith A. Bentley, a $15,000 per year vehicle allowance, a reimbursement of $6,748 in connection with accompanying spousal/dependent children travel, and $224 in company matching contributions to his account under our 401(k) plan; and (iii) for David J. Hollister, a $15,000 per year vehicle allowance, a $12,500 health and fitness club</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line="266" w:lineRule="auto"/>
        <w:rPr>
          <w:sz w:val="20"/>
          <w:szCs w:val="20"/>
          <w:color w:val="auto"/>
        </w:rPr>
      </w:pPr>
      <w:r>
        <w:rPr>
          <w:rFonts w:ascii="Times New Roman" w:cs="Times New Roman" w:eastAsia="Times New Roman" w:hAnsi="Times New Roman"/>
          <w:sz w:val="18"/>
          <w:szCs w:val="18"/>
          <w:color w:val="auto"/>
        </w:rPr>
        <w:t>allowance, a reimbursement of $15,456 in connection with accompanying spousal/dependent children travel, $3,000 as a matching contribution to charity, and $224 in company matching contributions under our 401(k)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Disclosures to Summary Compensation Table</w:t>
      </w:r>
    </w:p>
    <w:p>
      <w:pPr>
        <w:spacing w:after="0" w:line="162"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cash performance bonuses, and certain deferred compensation and retirement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48"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The base salary payable to each named executive officer is intended to provide a fixed baseline component of compensation, which is supplemented by the significant variable-based component of their annual compensation, as described below.</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such, each of our named executive officers received a base salary of $200,000 in fiscal year 2019.</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2019 Bonuses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Bonus Pool Plan</w:t>
      </w:r>
    </w:p>
    <w:p>
      <w:pPr>
        <w:spacing w:after="0" w:line="146"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key employees, including our named executive officers, participate in the Bentley Systems, Incorporated Bonus Pool Plan, as amended and restated, effective as of September 3, 2020 (the “Bonus Plan”). Pursuant to the Bonus Plan, participants are eligible to receive incentive bonuses that are determined based on our Management Report Operating Income, or adjusted operating income, as determined by our internal management accounts (“MROI”). For purposes of the Bonus Plan, the bonus pool thereunder may be funded with up to an aggregate of 20% of our adjusted MROI (as adjusted for accounting anomalies and other items identified as non- GAAP charges), subject to approval by our board of directors, which payments are made to plan participants based on each such participant’s allocated interest in the bonus pool.</w:t>
      </w:r>
    </w:p>
    <w:p>
      <w:pPr>
        <w:spacing w:after="0" w:line="12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(as defined herein). Prior to September 3, 2020, a participant’s non- deferred incentive bonus was payable in cash. On September 3, 2020, we amended and restated the Bonus Plan to provide a participant with the ability to elect to receive any portion, or all, of such participant’s non-deferred incentive bonus in shares of fully vested Class B common stock, issued under our 2020 Incentive Award Plan. Such election must be made prior to the start of the applicable calendar quarter for which the incentive bonus is to be paid, and the number of shares of Class B common stock payable in respect of such elected amount is calculated using a volume-weighted average price of our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 deferred incentive bonus payments, if, in any calendar quarter, the aggregate dollar value of shares of fully vested Class B common stock payable in respect of the non-deferred incentive bonuses exceeds $7.5 million, the portion of each participant’s non-deferred incentive bonus payable in shares of fully vested Class B common stock will be reduced pro rata such that the $7.5 million limit is not exceeded, and, for each affected participant, the amount of such reduction will be payable in cash. With respect to fiscal year 2019, our named executive officers were allocated percentage interests in the Bonus Plan bonus pool as follows: a 36.4% (12/33) interest for Gregory S. Bentley, a 21.2% (7/33) interest for Keith A. Bentley, and a 12.1% (4/33) interest for David J. Hollister, and they were paid bonuses quarterly in the aggregate amounts of $12,127,313, $7,074,266, and $4,042,438, respectively under the Bonus Plan.</w:t>
      </w: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Global Profit Sharing Plan</w:t>
      </w:r>
    </w:p>
    <w:p>
      <w:pPr>
        <w:spacing w:after="0" w:line="16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full-time colleagues, including our named executive officers, are generally eligible to participate in our global profit sharing plan (the “Profit Sharing Plan”). Under the Profit Sharing Plan, each participant</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37" w:lineRule="auto"/>
        <w:rPr>
          <w:sz w:val="20"/>
          <w:szCs w:val="20"/>
          <w:color w:val="auto"/>
        </w:rPr>
      </w:pPr>
      <w:r>
        <w:rPr>
          <w:rFonts w:ascii="Times New Roman" w:cs="Times New Roman" w:eastAsia="Times New Roman" w:hAnsi="Times New Roman"/>
          <w:sz w:val="18"/>
          <w:szCs w:val="18"/>
          <w:color w:val="auto"/>
        </w:rPr>
        <w:t>is eligible for a cash bonus based upon the company’s achievement of certain performance targets, which in fiscal year 2019 included the MROI. The target level of the MROI objective is based on our annual growth objectives and is set by members of our senior management at the beginning of the fiscal year. Under the Profit Sharing Plan, each participant receives an on-target bonus amount equal to 2% of such participant’s eligible compensation with respect to fiscal year 2019, with payouts ranging from 0% (if threshold achievement of 75% of the applicable performance target is not achieved) to 6% of eligible compensation (if maximum achievement of the applicable performance target is achieved). Such amounts were determined on a straight-line basis between threshold and target, and target and maximum achievement levels. Such bonus amounts are then adjusted (which may be negative or positive) using a weighted multiplier based on our achievement of non- financial company performance objectives, as established by our senior management at the beginning of the fiscal year. For fiscal year 2019, each of the named executive officers were paid a cash bonus of $2,960 in February 2020 under the Profit Sharing Plan.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Hollister Bonus</w:t>
      </w:r>
    </w:p>
    <w:p>
      <w:pPr>
        <w:spacing w:after="0" w:line="146"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addition to bonuses payable under the Bonus Plan and the Profit Sharing Plan, David J. Hollister was paid a one-time discretionary cash bonus of $1,000 in recognition of his contributions to us in fiscal year 2019.</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2015 Plan (as defined in the section below titled “— Equity Incentive Plans”) provides our officers, key employees, consultants, and directors the opportunity to participate in the equity appreciation of our business through the receipt of equity awards with respect to shares of our Class B common stock. No equity awards were granted to the named executive officers in fiscal year 2019. David J. Hollister, however, was previously granted an option to purchase 200,000 shares of our Class B common stock on May 27, 2015 under the 2015 Plan at an exercise price of $3.495 per share. Such option is fully vested, with 100,606 shares subject to the option that remain outstanding and exercisable as of December 31, 2019.</w:t>
      </w:r>
    </w:p>
    <w:p>
      <w:pPr>
        <w:spacing w:after="0" w:line="117" w:lineRule="exact"/>
        <w:rPr>
          <w:sz w:val="20"/>
          <w:szCs w:val="20"/>
          <w:color w:val="auto"/>
        </w:rPr>
      </w:pPr>
    </w:p>
    <w:p>
      <w:pPr>
        <w:ind w:left="1260" w:right="799" w:firstLine="360"/>
        <w:spacing w:after="0" w:line="245"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p>
    <w:p>
      <w:pPr>
        <w:spacing w:after="0" w:line="148"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We offer participation in broad-based retirement, health, and welfare plans to all of our colleagues, including our named executive officers. We provide a 401(k) plan to our employees, including our current named executive officers, as discussed in the section below titled “— Profit Sharing/401(k) Plan.”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Profit Sharing/401(k) Plan</w:t>
      </w:r>
    </w:p>
    <w:p>
      <w:pPr>
        <w:spacing w:after="0" w:line="160"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We sponsor a defined contribution plan intended to qualify for favorable tax treatment under Section 401(a) of the U.S. Internal Revenue Code of 1986, as amended (the “Code”), containing a cash or deferred feature that is intended to meet the requirements of Section 401(k) of the Code. The plan provides for employer matching or non-elective contributions on behalf of participants. Employer matching and non-elective contributions become 25% vested after one year of service and continue vesting thereafter at 25% per year until they are 100% vested following four years of service. Up to 100% of non-elective contributions may be invested in shares of our Class B common stock. For fiscal year 2019, each of our named executive officers received employer matching contributions of $224 and no elective contributions.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60"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We sponsor the Bentley Systems, Incorporated Nonqualified Deferred Compensation Plan (the “DCP”). Under the DCP, key management colleagues, including our named executive officers, may defer all or any part of their incentive compensation and the company may make discretionary awards on behalf of such participants. Additionally, non-employee directors may defer all or any part of their directors’ fees under our Nonqualified Deferred Compensation Plan for Non-Employee Directors. We have historically credited</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participants with non-elective contributions to the DCP, but no such contributions have occurred since 2015. All deferrals are deemed invested in phantom shares of our Class B common stock and all benefits are distributed in actual shares of our Class B common stock.</w:t>
      </w:r>
    </w:p>
    <w:p>
      <w:pPr>
        <w:spacing w:after="0" w:line="95"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For fiscal year 2019, Gregory S. Bentley and Keith A. Bentley elected to defer 10% and 20%, respectively, of their 2019 incentive compensation into the DCP. David J. Hollister did not defer any portion of his fiscal year 2019 incentive compensation. The following table shows the number of outstanding phantom shares of our Class B common stock held by each named executive officer as of December 31, 2019 under the DCP, including additional phantom shares acquired as a result of dividend equivalents credited on those phantom shares:</w:t>
      </w:r>
    </w:p>
    <w:p>
      <w:pPr>
        <w:spacing w:after="0" w:line="37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8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Phantom</w:t>
            </w: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3"/>
        </w:trPr>
        <w:tc>
          <w:tcPr>
            <w:tcW w:w="6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98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3,240,932</w:t>
            </w: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98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9"/>
              </w:rPr>
              <w:t>2,917,970</w:t>
            </w:r>
          </w:p>
        </w:tc>
      </w:tr>
      <w:tr>
        <w:trPr>
          <w:trHeight w:val="2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98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3,542,184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-496570</wp:posOffset>
            </wp:positionV>
            <wp:extent cx="1371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46"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All of our full-time colleagues, including our named executive officers, are eligible to participate in a standard suite of health and welfare benefit plans. In addition, we generally provide the following benefits to our senior executives, including our named executive officers:</w:t>
      </w:r>
    </w:p>
    <w:p>
      <w:pPr>
        <w:spacing w:after="0" w:line="68" w:lineRule="exact"/>
        <w:rPr>
          <w:sz w:val="20"/>
          <w:szCs w:val="20"/>
          <w:color w:val="auto"/>
        </w:rPr>
      </w:pPr>
    </w:p>
    <w:p>
      <w:pPr>
        <w:ind w:left="1800" w:right="779" w:hanging="178"/>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health and fitness memberships and programs in an amount of up to $12,500 per year;</w:t>
      </w:r>
    </w:p>
    <w:p>
      <w:pPr>
        <w:spacing w:after="0" w:line="53"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costs of the executive’s spouse and dependent children to accompany the executive on qualifying business trips in an amount of up to $25,000 per year;</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vehicle allowance of $15,000;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matching contributions in an amount of up to $12,500 per year.</w:t>
      </w:r>
    </w:p>
    <w:p>
      <w:pPr>
        <w:spacing w:after="0" w:line="15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We believe the benefits and perquisites described above are necessary and appropriate to provide a competitive compensation package to our senior executives, including our named executive officers.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60"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No named executive officers received any tax gross-ups in respect of compensation received by them in fiscal year 2019, nor are any named executive officers currently entitled to receive any such tax gross-ups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Class B common stock that were underlying outstanding equity incentive plan awards for each named executive officer for fiscal year 2019.</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Pr>
          <w:p>
            <w:pPr>
              <w:spacing w:after="0"/>
              <w:rPr>
                <w:sz w:val="16"/>
                <w:szCs w:val="16"/>
                <w:color w:val="auto"/>
              </w:rPr>
            </w:pPr>
          </w:p>
        </w:tc>
      </w:tr>
      <w:tr>
        <w:trPr>
          <w:trHeight w:val="23"/>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1"/>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19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05/27/2015</w:t>
            </w:r>
          </w:p>
        </w:tc>
        <w:tc>
          <w:tcPr>
            <w:tcW w:w="1180" w:type="dxa"/>
            <w:vAlign w:val="bottom"/>
            <w:gridSpan w:val="3"/>
            <w:shd w:val="clear" w:color="auto" w:fill="CCEEFF"/>
          </w:tcPr>
          <w:p>
            <w:pPr>
              <w:jc w:val="right"/>
              <w:ind w:right="140"/>
              <w:spacing w:after="0" w:line="256" w:lineRule="exact"/>
              <w:rPr>
                <w:sz w:val="20"/>
                <w:szCs w:val="20"/>
                <w:color w:val="auto"/>
              </w:rPr>
            </w:pPr>
            <w:r>
              <w:rPr>
                <w:rFonts w:ascii="Times New Roman" w:cs="Times New Roman" w:eastAsia="Times New Roman" w:hAnsi="Times New Roman"/>
                <w:sz w:val="18"/>
                <w:szCs w:val="18"/>
                <w:color w:val="auto"/>
              </w:rPr>
              <w:t>100,606</w:t>
            </w:r>
            <w:r>
              <w:rPr>
                <w:rFonts w:ascii="Times New Roman" w:cs="Times New Roman" w:eastAsia="Times New Roman" w:hAnsi="Times New Roman"/>
                <w:sz w:val="26"/>
                <w:szCs w:val="26"/>
                <w:color w:val="auto"/>
                <w:vertAlign w:val="superscript"/>
              </w:rPr>
              <w:t>(1)</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$3.495</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05/26/2020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-496570</wp:posOffset>
            </wp:positionV>
            <wp:extent cx="137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-496570</wp:posOffset>
            </wp:positionV>
            <wp:extent cx="137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137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-496570</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-496570</wp:posOffset>
            </wp:positionV>
            <wp:extent cx="137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19" w:hanging="358"/>
        <w:spacing w:after="0" w:line="266"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vested ratably on each of the first four anniversaries of the grant date, subject to David J. Hollister’s continued service with us through the applicable vesting dates. As of December 31, 2019, such shares are fully vested and exercisable.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We do not have employment agreements with any of our named executive officers. However, each of our executive officers, including the named executive officers, has executed customary intellectual property assignment agreements for our benefit. Pursuant to those agreements, each of our executive officers has confirmed his or her understanding and agreement that any and all intellectual property and trade secrets</w:t>
      </w:r>
    </w:p>
    <w:p>
      <w:pPr>
        <w:spacing w:after="0" w:line="2" w:lineRule="exact"/>
        <w:rPr>
          <w:sz w:val="20"/>
          <w:szCs w:val="20"/>
          <w:color w:val="auto"/>
        </w:rPr>
      </w:pPr>
    </w:p>
    <w:p>
      <w:pPr>
        <w:ind w:left="1260" w:right="819" w:firstLine="2"/>
        <w:spacing w:after="0" w:line="238" w:lineRule="auto"/>
        <w:tabs>
          <w:tab w:leader="none" w:pos="14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our business and (ii) contained in our products or systems that such executive has created, developed or otherwise produced or caused to be produced or delivered to us, or will so do in the future, is our property or will be assigned to us. Each executive has also agreed to take all further acts that may be necessary to transfer, perfect, and defend our ownership of such property.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maintain the Bentley Systems, Incorporated 2015 Equity Incentive Plan, as amended and restated, effective as of May 29, 2018, and as further amended on July 10, 2020 (the “2015 Plan”). The 2015 Plan is intended to provide a means whereby we may attract and retain key employees, consultants, and directors and motivate them to exercise their best efforts on behalf of the company. The 2015 Plan provides for the grant of stock options, restricted stock, restricted stock units, stock appreciation rights, and dividend equivalent rights to our key employees, consultants, and non-employee directors and is administered by our board of directors. Under the 2015 Plan, 50,000,000 shares of Class B common stock are reserved for issuance. If an award granted under the 2015 Plan expires, terminates for any reason, is cancelled, or is forfeited, the shares subject to that award will be available for future grant under the 2015 Plan. In addition, if an option is exercised by surrendering shares as full or partial payment, or if tax withholding requirements are satisfied by surrendering shares to us or by withholding shares, only the number of shares issued net of shares withheld or surrendered shall be deemed delivered for purposes of determining the number of shares that remain available for grant under the 2015 Plan. The 2015 Plan provides that the per share exercise price of a nonqualified stock option granted thereunder cannot be less than the higher of 100% of the fair market value of a share of Class B common stock on the grant date, or the par value thereof. The 2015 Plan also provides that, on the day prior to the date on which any in-the-money option is scheduled to expire due to the expiration of the option term, that option will be automatically exercised using a net exercise method to cover both the exercise price and applicable tax withholding. The type and number of shares that may be issued under the 2015 Plan and the type and number of shares issuable under outstanding awards under the 2015 Plan, as well as the exercise price of outstanding options, will be adjusted to reflect any stock split, reverse stock split, stock dividend, distribution (including extraordinary cash dividends), spin-off, recapitalization, share combination or reclassification, or similar change in our capitalization.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the event of a corporate transaction (such as a merger), the surviving or successor corporation is required to assume each outstanding award or substitute a new award for each outstanding award under the 2015 Plan unless our board of directors decides to terminate all or any portion of the outstanding awards effective upon the closing of the corporate transaction. If our board of directors decides to so terminate outstanding awards, each holder of outstanding options must receive at least seven days’ notice of such termination and any option that is to be terminated will be exercisable (to the extent it is then exercisable) up to the time of termination. Upon the closing of such corporate transaction, such option, if not exercised, will be terminated, and we will pay to the holder thereof an amount equal to the difference between the fair market value of a share of Class B common stock (as of the date the option terminated) and the exercise price of the option. If the exercise price of such outstanding options equals or exceeds such fair market value, we will cancel the option without payment. Upon the occurrence of a change in control (as defined in the 2015 Plan), all outstanding unvested awards granted under the 2015 Plan will automatically vest; provided, however that unvested awards that were granted on or after July 10, 2020 will not automatically vest upon the occurence of a change in control. Our board of directors may terminate the 2015 Plan at any time. Our board of directors has determined not to make additional awards under the 2015 Plan following the effectiveness of this prospectus. However, the 2015 Plan will continue to govern outstanding equity awards granted thereunder.</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48"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On September 3, 2020, our board of directors adopted the 2020 Omnibus Incentive Plan (the “2020 Incentive Award Plan”), subject to approval of our stockholders and the consummation of this offering.</w:t>
      </w:r>
    </w:p>
    <w:p>
      <w:pPr>
        <w:spacing w:after="0" w:line="93"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our 2020 Incentive Award Plan is to provide a means through which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Class B common stock, thereby strengthening their commitment to our welfare and aligning their interests with those of our stockholders.</w:t>
      </w:r>
    </w:p>
    <w:p>
      <w:pPr>
        <w:spacing w:after="0" w:line="324"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2020 Incentive Award Plan will be administered by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of 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2020 Incentive Award Plan and any instrument or agreement relating to, or any award granted under, our 2020 Incentive Award Plan; establish, amend, suspend, or waive any rules and regulations and appoint such agents as the Committee deems appropriate for the proper administration of our 2020 Incentive Award Plan; adopt sub-plans; and to make any other determination and take any other action that the Committee deems necessary or desirable for the administration of our 2020 Incentive Award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2020 Incentive Award Plan. Unless otherwise expressly provided in our 2020 Incentive Award Plan, all designations, determinations, interpretations, and other decisions under or with respect to our 2020 Incentive Award Plan or any award or any documents evidencing awards granted pursuant to our 2020 Incentive Award Plan are within the sole discretion of the Committee, may be made at any time and are final, conclusive and binding upon all persons or entities, including, without limitation, us, any participant, any holder or beneficiary of any award, and any of our stockholders. The Committee may make grants of awards to eligible persons pursuant to terms and conditions set forth in the applicable award agreement, as determined by the Committee in its sole discretion, to the extent not inconsistent with the terms of our 2020 Incentive Award Plan, including subjecting such awards to performance criteria listed in our 2020 Incentive Award Plan.</w:t>
      </w:r>
    </w:p>
    <w:p>
      <w:pPr>
        <w:spacing w:after="0" w:line="322" w:lineRule="exact"/>
        <w:rPr>
          <w:sz w:val="20"/>
          <w:szCs w:val="20"/>
          <w:color w:val="auto"/>
        </w:rPr>
      </w:pPr>
    </w:p>
    <w:p>
      <w:pPr>
        <w:ind w:left="1260" w:right="7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Subject to our 2020 Incentive Award Plan. </w:t>
      </w:r>
      <w:r>
        <w:rPr>
          <w:rFonts w:ascii="Times New Roman" w:cs="Times New Roman" w:eastAsia="Times New Roman" w:hAnsi="Times New Roman"/>
          <w:sz w:val="18"/>
          <w:szCs w:val="18"/>
          <w:color w:val="auto"/>
        </w:rPr>
        <w:t>Our 2020 Incentive Award Plan provides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number of shares of Class B common stock that may be issued under our 2020 Incentive Award Plan is 25,000,000 (the “Absolute Share Limit”); provided, however, that the the Absolute Share Limit is</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automatically increased on the first day of each fiscal year in an amount equal to the lower of 1% of the total number of shares of Class B common stock outstanding on the last day of the immediately preceding fiscal year and a lower number of shares of Class B common stock as determined by our board of directors. No more than 25,000,000 shares of Class B common stock may be issued in the aggregate pursuant to the exercise of incentive stock options. The maximum number of shares of Class B common stock granted during a single fiscal year to any non-employee director, taken together with any cash fees paid to such non-employee director during the fiscal year, may not exceed $ 1,000,000 in total value (calculating the value of any such awards based on the grant date fair value of such awards for financial reporting purposes) or such lower amount as determined by our board of directors prior to the date of grant, either as part of our non-employee director compensation program or as otherwise determined by the board of directors in the event of any change to such non-employee director’s compensation program or for any particular period of service. Except for substitute awards (as described below), in the event any award expires or is cancelled, forfeited, terminated, settled in cash or otherwise settled without issuance to the participant of the full number of shares to which the award related, the unissued shares of Class B common stock may be granted again under our 2020 Incentive Award Plan. Shares of Class B common stock surrendered or withheld in payment of the exercise price, or taxes relating to an award, will be deemed to constitute shares not issued to a participant and shall again be available for awards under the plan, provided, that such shares shall not become available for issuance hereunder if either the applicable shares are withheld or surrendered following the termination of the plan or at the time the applicable shares are withheld or surrendered, it would constitute a material revision of the plan subject to stockholder approval under any then- applicable rules of any national securities exchange or inter-dealer quotation system on which the Class B common stock is listed or traded.</w:t>
      </w:r>
    </w:p>
    <w:p>
      <w:pPr>
        <w:spacing w:after="0" w:line="243"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Awards may, in the sole discretion of the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w:t>
      </w:r>
    </w:p>
    <w:p>
      <w:pPr>
        <w:spacing w:after="0" w:line="2" w:lineRule="exact"/>
        <w:rPr>
          <w:sz w:val="20"/>
          <w:szCs w:val="20"/>
          <w:color w:val="auto"/>
        </w:rPr>
      </w:pPr>
    </w:p>
    <w:p>
      <w:pPr>
        <w:ind w:left="1260" w:right="819"/>
        <w:spacing w:after="0" w:line="243" w:lineRule="auto"/>
        <w:rPr>
          <w:sz w:val="20"/>
          <w:szCs w:val="20"/>
          <w:color w:val="auto"/>
        </w:rPr>
      </w:pPr>
      <w:r>
        <w:rPr>
          <w:rFonts w:ascii="Times New Roman" w:cs="Times New Roman" w:eastAsia="Times New Roman" w:hAnsi="Times New Roman"/>
          <w:sz w:val="18"/>
          <w:szCs w:val="18"/>
          <w:color w:val="auto"/>
        </w:rPr>
        <w:t>2020 Incentive Award Plan after the tenth anniversary of the effective date (as defined therein), but awards granted before then may extend beyond that date.</w:t>
      </w:r>
    </w:p>
    <w:p>
      <w:pPr>
        <w:spacing w:after="0" w:line="11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Committee may grant non-qualified stock options and incentive stock options,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Incentive Award Plan, with terms and conditions determined by the Committee that are not inconsistent with our 2020 Incentive Award Plan. All stock options granted under our 2020 Incentive Award Plan are required to have a per share exercise price that is not less than 100% of the fair market value of our Class B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2020 Incentive Award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Class B common stock is prohibited by our insider trading policy (or “blackout period” imposed by us), the term will automatically be extended to the 30th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(so long as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Class B common stock will be settled in cash. If an exercisable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5" w:lineRule="auto"/>
        <w:rPr>
          <w:sz w:val="20"/>
          <w:szCs w:val="20"/>
          <w:color w:val="auto"/>
        </w:rPr>
      </w:pPr>
      <w:r>
        <w:rPr>
          <w:rFonts w:ascii="Times New Roman" w:cs="Times New Roman" w:eastAsia="Times New Roman" w:hAnsi="Times New Roman"/>
          <w:sz w:val="18"/>
          <w:szCs w:val="18"/>
          <w:color w:val="auto"/>
        </w:rPr>
        <w:t>option is scheduled to expire and the exercise price per share of Class B common stock of such option is less than the then-current fair market value of a share of Class B common stock, then on the date immediately preceding the date on which the option will expire, the option will be automatically exercised on behalf of the participant through a “net exercise” procedure.</w:t>
      </w:r>
    </w:p>
    <w:p>
      <w:pPr>
        <w:spacing w:after="0" w:line="9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grant stock appreciation rights under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with terms and conditions determined by the Committee that are not inconsistent with our 2020 Incentive Award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Class B common stock, over (B) the strike price per share, times (2) the number of shares of Class B common stock covered by the stock appreciation right. The strike price per share of a stock appreciation right will be determined by the Committee at the time of grant but in no event may such amount be less than 100% of the fair market value of a share of Class B common stock on the date the stock appreciation right is granted (other than in the case of stock appreciation rights granted in substitution of previously granted awards). The maximum term for stock appreciation rights under our 2020 Incentive Award Plan will be ten years from the initial date of grant. However, if a stock appreciation right would expire at a time when trading of shares of our Class B common stock is prohibited by our insider trading policy (or “blackout period” imposed by us), the term will automatically be extended to the 30th day following the end of such period. If an exercisable stock appreciation right is scheduled to expire and the exercise price per share of Class B Common Stock of such stock appreciation right is less than the then - current fair market value of a share of Class B Common Stock, then on the date immediately preceding the date on which the option will expire, the stock appreciation right will be automatically exercised on behalf of the participant through a “net exercise” procedure.</w:t>
      </w:r>
    </w:p>
    <w:p>
      <w:pPr>
        <w:spacing w:after="0" w:line="266"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i w:val="1"/>
          <w:iCs w:val="1"/>
          <w:color w:val="auto"/>
        </w:rPr>
        <w:t xml:space="preserve">Restricted Shares and Restricted Stock Units. </w:t>
      </w:r>
      <w:r>
        <w:rPr>
          <w:rFonts w:ascii="Times New Roman" w:cs="Times New Roman" w:eastAsia="Times New Roman" w:hAnsi="Times New Roman"/>
          <w:sz w:val="18"/>
          <w:szCs w:val="18"/>
          <w:color w:val="auto"/>
        </w:rPr>
        <w:t>The Committee may grant restricted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or restricted stock units, representing the right to receive, upon vesting and the expiration of any applicable restricted period, one share of Class B common stock for each restricted stock unit, or, in the sole discretion of the Committee, the cash value thereof (or any combination thereof). As to restricted shares of our Class B common stock, subject to the other provisions of our 2020 Incentive Award Plan, the holder will generally have the rights and privileges of a stockholder as to such restricted shares of Class B common stock, including, without limitation, the right to vote such restricted shares of Class B common stock. Participants have no rights or privileges as a stockholder with respect to restricted stock units.</w:t>
      </w:r>
    </w:p>
    <w:p>
      <w:pPr>
        <w:spacing w:after="0" w:line="315" w:lineRule="exact"/>
        <w:rPr>
          <w:sz w:val="20"/>
          <w:szCs w:val="20"/>
          <w:color w:val="auto"/>
        </w:rPr>
      </w:pPr>
    </w:p>
    <w:p>
      <w:pPr>
        <w:ind w:left="1620"/>
        <w:spacing w:after="0"/>
        <w:tabs>
          <w:tab w:leader="none" w:pos="5780" w:val="left"/>
        </w:tabs>
        <w:rPr>
          <w:sz w:val="20"/>
          <w:szCs w:val="20"/>
          <w:color w:val="auto"/>
        </w:rPr>
      </w:pPr>
      <w:r>
        <w:rPr>
          <w:rFonts w:ascii="Times New Roman" w:cs="Times New Roman" w:eastAsia="Times New Roman" w:hAnsi="Times New Roman"/>
          <w:sz w:val="18"/>
          <w:szCs w:val="18"/>
          <w:i w:val="1"/>
          <w:iCs w:val="1"/>
          <w:color w:val="auto"/>
        </w:rPr>
        <w:t>Other Equity-Based Awards and Cash-Based Awards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Committee may grant other equity-based or</w:t>
      </w:r>
    </w:p>
    <w:p>
      <w:pPr>
        <w:spacing w:after="0" w:line="29" w:lineRule="exact"/>
        <w:rPr>
          <w:sz w:val="20"/>
          <w:szCs w:val="20"/>
          <w:color w:val="auto"/>
        </w:rPr>
      </w:pPr>
    </w:p>
    <w:p>
      <w:pPr>
        <w:ind w:left="1260" w:right="1139"/>
        <w:spacing w:after="0" w:line="260" w:lineRule="auto"/>
        <w:rPr>
          <w:sz w:val="20"/>
          <w:szCs w:val="20"/>
          <w:color w:val="auto"/>
        </w:rPr>
      </w:pPr>
      <w:r>
        <w:rPr>
          <w:rFonts w:ascii="Times New Roman" w:cs="Times New Roman" w:eastAsia="Times New Roman" w:hAnsi="Times New Roman"/>
          <w:sz w:val="18"/>
          <w:szCs w:val="18"/>
          <w:color w:val="auto"/>
        </w:rPr>
        <w:t>cash-based awards under our 2020 Incentive Award Plan, with terms and conditions determined by the Committee that are not inconsistent with our 2020 Incentive Award Plan.</w:t>
      </w:r>
    </w:p>
    <w:p>
      <w:pPr>
        <w:spacing w:after="0" w:line="9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Effect of Certain Events on the 2020 Incentive Award Plan and Awards. </w:t>
      </w:r>
      <w:r>
        <w:rPr>
          <w:rFonts w:ascii="Times New Roman" w:cs="Times New Roman" w:eastAsia="Times New Roman" w:hAnsi="Times New Roman"/>
          <w:sz w:val="18"/>
          <w:szCs w:val="18"/>
          <w:color w:val="auto"/>
        </w:rPr>
        <w:t>In the event of (1)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(other than regular cash dividends) or other distribution (whether in the form of cash, shares of Class B common stock, other securities or other property), recapitalization, stock split, reverse stock split, reorganization, merger, consolidation, split-up, split-off, spin-off, combination, repurchase or exchange of shares of Class B common stock or other securities, issuance of warrants or other rights to acquire shares of Class B common stock or other securities, or other similar corporate transaction or event that affects the shares of Class B common stock (including a change in control, as defined in our 2020 Incentive Award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w:t>
      </w:r>
    </w:p>
    <w:p>
      <w:pPr>
        <w:spacing w:after="0" w:line="4" w:lineRule="exact"/>
        <w:rPr>
          <w:sz w:val="20"/>
          <w:szCs w:val="20"/>
          <w:color w:val="auto"/>
        </w:rPr>
      </w:pPr>
    </w:p>
    <w:p>
      <w:pPr>
        <w:ind w:left="1260" w:right="739" w:firstLine="2"/>
        <w:spacing w:after="0" w:line="253" w:lineRule="auto"/>
        <w:tabs>
          <w:tab w:leader="none" w:pos="15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Absolute Share Limit, or any other limit applicable under our 2020 Incentive Award Plan with respect to the number of awards which may be granted thereunder, (B) the number of shares of Class B common stock or other securities of the Company (or number and kind of other securities or other property) which may be issued in respect of awards or with respect to which awards may be granted under our 2020 Incentive Award Plan or any sub-plan and (C) the terms of any outstanding award, including, without limitation,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firstLine="2"/>
        <w:spacing w:after="0" w:line="261" w:lineRule="auto"/>
        <w:tabs>
          <w:tab w:leader="none" w:pos="152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or other securities of the Company (or number and kind of other securities or other property) subject to outstanding awards or to which outstanding awards relate,</w:t>
      </w:r>
    </w:p>
    <w:p>
      <w:pPr>
        <w:jc w:val="both"/>
        <w:ind w:left="1260" w:right="739" w:firstLine="2"/>
        <w:spacing w:after="0" w:line="255" w:lineRule="auto"/>
        <w:tabs>
          <w:tab w:leader="none" w:pos="152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strike price with respect to any award, or (3) any applicable performance measures; it being understood that, in the case of any “equity restructuring,” the Committee will make an equitable or proportionate adjustment to outstanding awards to reflect such equity restructuring.</w:t>
      </w:r>
    </w:p>
    <w:p>
      <w:pPr>
        <w:spacing w:after="0" w:line="10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immediately prior to, and contingent upon, the consummation of such Change in Control and (2) subject to any limitations or reductions as may be necessary to comply with Section 409A of the Code,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Class B common stock received or to be received by other holders of our Class B common stock in such event), including, in the case of stock options and stock appreciation rights, a cash payment equal to the excess, if any, of the fair market value of the shares of Class B common stock subject to the option or stock appreciation right over the aggregate exercise price or strike price thereof.</w:t>
      </w:r>
    </w:p>
    <w:p>
      <w:pPr>
        <w:spacing w:after="0" w:line="336" w:lineRule="exact"/>
        <w:rPr>
          <w:sz w:val="20"/>
          <w:szCs w:val="20"/>
          <w:color w:val="auto"/>
        </w:rPr>
      </w:pPr>
    </w:p>
    <w:p>
      <w:pPr>
        <w:ind w:left="1260" w:right="75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Each award will not be transferable or assignable by a participant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by will or by the laws of descent and distribution and any such purported assignment, alienation, pledge, attachment, sale, transfer or encumbrance will be void and unenforceable against us or any of our subsidiaries.</w:t>
      </w:r>
    </w:p>
    <w:p>
      <w:pPr>
        <w:spacing w:after="0" w:line="33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0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may amend, alter, suspend, discontinue,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our 2020 Incentive Award Plan or any portion thereof at any time; but no such amendment, alteration, suspension, discontinuance or termination may be made without stockholder approval if (1) such approval is necessary to comply with any regulatory requirement applicable to our 2020 Incentive Award Plan or for changes in U.S. GAAP to new accounting standards; (2) it would materially increase the number of securities which may be issued under our 2020 Incentive Award Plan (except for adjustments in connection with certain corporate events); or (3) it would materially modify the requirements for participation in our 2020 Incentive Award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our 2020 Incentive Award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our 2020 Incentive Award Plan, (1) 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in its sole discretion may provide part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with dividends or 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103"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Data Protection. </w:t>
      </w:r>
      <w:r>
        <w:rPr>
          <w:rFonts w:ascii="Times New Roman" w:cs="Times New Roman" w:eastAsia="Times New Roman" w:hAnsi="Times New Roman"/>
          <w:sz w:val="18"/>
          <w:szCs w:val="18"/>
          <w:color w:val="auto"/>
        </w:rPr>
        <w:t>By participating in the plan or accepting any rights granted under it, each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consents to the collection and processing of personal data so that we and our affiliates can fulfill our obligations and exercise our rights under our 2020 Incentive Award Plan and generally administer and manage our 2020 Incentive Award Plan. This data will include, but may not be limited to, data about the participant’s participation in our 2020 Incentive Award Plan and shares offered or received, purchased, or sold under our 2020 Incentive Award Plan from time to time and other appropriate financial and other data (such as the date on which the awards were granted under our 2020 Incentive Award Plan).</w:t>
      </w:r>
    </w:p>
    <w:p>
      <w:pPr>
        <w:spacing w:after="0" w:line="117"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necessary to comply with (i) any 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17" w:lineRule="exact"/>
        <w:rPr>
          <w:sz w:val="20"/>
          <w:szCs w:val="20"/>
          <w:color w:val="auto"/>
        </w:rPr>
      </w:pPr>
    </w:p>
    <w:p>
      <w:pPr>
        <w:jc w:val="both"/>
        <w:ind w:left="1260" w:right="8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If a participant has engaged in any detrimental activity, as defined in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as determined by the Committee, the Committee may, in its sole discretion, provide for one or more of the following: (i) cancellation of any or all of such participant’s outstanding awards or</w:t>
      </w:r>
    </w:p>
    <w:p>
      <w:pPr>
        <w:spacing w:after="0" w:line="1" w:lineRule="exact"/>
        <w:rPr>
          <w:sz w:val="20"/>
          <w:szCs w:val="20"/>
          <w:color w:val="auto"/>
        </w:rPr>
      </w:pPr>
    </w:p>
    <w:p>
      <w:pPr>
        <w:ind w:left="1260" w:right="1239" w:firstLine="2"/>
        <w:spacing w:after="0" w:line="243" w:lineRule="auto"/>
        <w:tabs>
          <w:tab w:leader="none" w:pos="15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by the participant of any gain realized on the vesting or exercise of awards, and prompt repayment of any such gain to us.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Employee Stock Purchase Plan</w:t>
      </w:r>
    </w:p>
    <w:p>
      <w:pPr>
        <w:spacing w:after="0" w:line="148" w:lineRule="exact"/>
        <w:rPr>
          <w:sz w:val="20"/>
          <w:szCs w:val="20"/>
          <w:color w:val="auto"/>
        </w:rPr>
      </w:pPr>
    </w:p>
    <w:p>
      <w:pPr>
        <w:ind w:left="1260" w:right="779" w:firstLine="360"/>
        <w:spacing w:after="0" w:line="237" w:lineRule="auto"/>
        <w:rPr>
          <w:sz w:val="20"/>
          <w:szCs w:val="20"/>
          <w:color w:val="auto"/>
        </w:rPr>
      </w:pPr>
      <w:r>
        <w:rPr>
          <w:rFonts w:ascii="Times New Roman" w:cs="Times New Roman" w:eastAsia="Times New Roman" w:hAnsi="Times New Roman"/>
          <w:sz w:val="18"/>
          <w:szCs w:val="18"/>
          <w:color w:val="auto"/>
        </w:rPr>
        <w:t>Prior to the consummation of this offering, our board of directors expects to adopt, and we expect our stockholders to approve, our Global Employee Stock Purchase Plan (the “Global ESPP”) to become effective on the date immediately preceding, and contingent upon, our initial public offering, and to remain effective until terminated by our board of directors. The purpose of the Global ESPP is to provide an opportunity for eligible employees of the Company and any parent, subsidiary or affiliate of the Company that has been designated by our board of directors or any properly delegated committee or subcommittee thereof (the “committee”) to purchase shares of our Class B common stock at a discount through voluntary payroll deductions from such employees’ eligible compensation. The purchase rights granted under the Global ESPP are intended to be treated as either (i) purchase rights granted under an “employee stock purchase plan,” as that term is defined in Section 423 of the Code (a “Section 423 Offering”), or</w:t>
      </w:r>
    </w:p>
    <w:p>
      <w:pPr>
        <w:spacing w:after="0" w:line="1" w:lineRule="exact"/>
        <w:rPr>
          <w:sz w:val="20"/>
          <w:szCs w:val="20"/>
          <w:color w:val="auto"/>
        </w:rPr>
      </w:pPr>
    </w:p>
    <w:p>
      <w:pPr>
        <w:ind w:left="1260" w:right="719" w:firstLine="2"/>
        <w:spacing w:after="0" w:line="239" w:lineRule="auto"/>
        <w:tabs>
          <w:tab w:leader="none" w:pos="15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granted under an employee stock purchase plan that is not subject to the requirements of Section 423 of the Code (a “Non-Section 423 Offering”). The following summary of the Global ESPP is qualified in its entirety by reference to the Global ESPP that is ultimately adopted by our board of directors.</w:t>
      </w:r>
    </w:p>
    <w:p>
      <w:pPr>
        <w:spacing w:after="0" w:line="11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Global ESPP will be administered by the committee. The committee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authority, the authority to interpret the Global ESPP, determine eligibility and adjudicate disputed claims under the Global ESPP, determine the terms and conditions of purchase rights under the Global ESPP, and to make any other determination and take any other action desirable for the administration of the Global ESPP. To the extent not prohibited by applicable laws, the committee may delegate its authority to a subcommittee, to one or more officers of the Company or to other persons or groups of persons, including to assist with the day-to-day administration of the Global ESPP.</w:t>
      </w:r>
    </w:p>
    <w:p>
      <w:pPr>
        <w:spacing w:after="0" w:line="117" w:lineRule="exact"/>
        <w:rPr>
          <w:sz w:val="20"/>
          <w:szCs w:val="20"/>
          <w:color w:val="auto"/>
        </w:rPr>
      </w:pPr>
    </w:p>
    <w:p>
      <w:pPr>
        <w:ind w:left="1260" w:right="7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Generally, any individual in an employee-employer relationship with the Company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for income tax and employment tax withholding and reporting purposes is eligible to participate in the Global ESPP and may participate by submitting an enrollment agreement or appropriate online form to the Company under procedures specified by the committee. The committee, in its discretion, may determine on a uniform basis for an offering that employees will not be eligible to participate if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52" w:lineRule="auto"/>
        <w:rPr>
          <w:sz w:val="20"/>
          <w:szCs w:val="20"/>
          <w:color w:val="auto"/>
        </w:rPr>
      </w:pPr>
      <w:r>
        <w:rPr>
          <w:rFonts w:ascii="Times New Roman" w:cs="Times New Roman" w:eastAsia="Times New Roman" w:hAnsi="Times New Roman"/>
          <w:sz w:val="18"/>
          <w:szCs w:val="18"/>
          <w:color w:val="auto"/>
        </w:rPr>
        <w:t>employee has not met certain conditions prescribed in the Global ESPP. No employee is eligible for the grant of any purchase rights under the Global ESPP if, immediately after such grant, the employee would own shares of our Class B common stock possessing 5% or more of the total combined voting power or value of all classes of shares of common stock of the Company or of any subsidiary or parent of the Company (including any shares of Class B common stock which such employee may purchase under all outstanding purchase rights), nor will any employee be granted purchase rights to buy more than $25,000 worth of shares of Class B common stock (determined based on the fair market value of the shares of Class B common stock on the date the purchase rights are granted) under the Global ESPP in any calendar year such purchase rights are outstanding. Eligible employees who are citizens or resident of a jurisdiction outside the United States may be excluded from participation in the Global ESPP if their participation is prohibited under local laws or if complying with local laws would cause a Section 423 Offering to fail to qualify under Section 423 of the Code. In the case of a Non-Section 423 Offering, eligible employees may be excluded from participation in the Global ESPP or an offering if the committee has determined that participation of such eligible employees is not advisable or practicable for any reason.</w:t>
      </w:r>
    </w:p>
    <w:p>
      <w:pPr>
        <w:spacing w:after="0" w:line="11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maximum number of shares of Class B common stock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Global ESPP will be no more than 25,000,000 shares of Class B common stock. The shares of Class B common stock may be authorized but unissued shares, treasury shares or shares purchased in the open market. In the event of any change affecting the number, class, value, or terms of the shares of Class B common stock resulting from a recapitalization, stock split, reverse stock split, stock dividend, spinoff, split up, combination, reclassification or exchange of shares of Class B common stock, merger, consolidation, rights offering, separation, reorganization or liquidation or any other change in the corporate structure or shares of Class B common stock, including any extraordinary dividend or extraordinary distribution (but excluding any regular cash dividend), then the committee, in order to prevent dilution or enlargement of the benefits or potential benefits intended to be made available under the Global ESPP, will, in such manner as it may deem equitable, adjust the number and class of shares of Class B common stock that may be delivered under the Global ESPP, the purchase price per share and the number of shares of Class B common stock covered by each right under the Global ESPP that has not yet been exercised.</w:t>
      </w:r>
    </w:p>
    <w:p>
      <w:pPr>
        <w:spacing w:after="0" w:line="120" w:lineRule="exact"/>
        <w:rPr>
          <w:sz w:val="20"/>
          <w:szCs w:val="20"/>
          <w:color w:val="auto"/>
        </w:rPr>
      </w:pPr>
    </w:p>
    <w:p>
      <w:pPr>
        <w:ind w:left="1260" w:right="9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Non-U.S. Sub-Plans</w:t>
      </w:r>
      <w:r>
        <w:rPr>
          <w:rFonts w:ascii="Times New Roman" w:cs="Times New Roman" w:eastAsia="Times New Roman" w:hAnsi="Times New Roman"/>
          <w:sz w:val="18"/>
          <w:szCs w:val="18"/>
          <w:color w:val="auto"/>
        </w:rPr>
        <w:t>. The committee will also have the authority to adopt such sub-plans as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appropriate to permit the participation in the Global ESPP by employees who are foreign nationals or employed outside the United States. Such sub-plans may vary the terms of the Global ESPP, other than with respect to the number of shares of Class B common stock reserved for issuance under the Global ESPP, to accommodate the requirements of local laws, customs and procedures for non-U.S. jurisdictions.</w:t>
      </w:r>
    </w:p>
    <w:p>
      <w:pPr>
        <w:spacing w:after="0" w:line="115"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The Global ESPP will be implemented by means of consecutive offering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first offering period commencing on the first trading day on or after January 1, 2021 and ending on the last trading day on or before June 30, 2021. Unless otherwise determined by the committee, offering periods will run from January 1st (or the first trading day thereafter) through June 30th (or the first trading day prior to such date), and from July 1st (or the first trading day thereafter) through December 31st (or the first trading day prior to such date). The committee has the authority to establish additional or alternative sequential or overlapping offering periods, a different number of purchase periods within an offering period, or a different duration for one or more offering periods or purchase periods or different commencement or ending dates for such offering periods with respect to future offerings, provided that no offering period may have a duration that exceeds 27 months.</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Contributions, Purchase Price and Purchase of Shares. </w:t>
      </w:r>
      <w:r>
        <w:rPr>
          <w:rFonts w:ascii="Times New Roman" w:cs="Times New Roman" w:eastAsia="Times New Roman" w:hAnsi="Times New Roman"/>
          <w:sz w:val="18"/>
          <w:szCs w:val="18"/>
          <w:color w:val="auto"/>
        </w:rPr>
        <w:t>Except as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up to a maximum of 15% of an employee’s “eligible compensation” (as defined in the Global ESPP) may be contributed by payroll deductions toward the purchase of shares of Class B common stock in each purchase period. An employee may elect to increase or decrease the rate of contributions during a subsequent enrollment period to the Global ESPP. The purchase price per share at which shares of Class B common stock are sold in an offering period under the Global ESPP will be equal to the lesser of 85% of the fair market value of a share of Class B common stock (i) on the first trading day of the offering period, or</w:t>
      </w:r>
    </w:p>
    <w:p>
      <w:pPr>
        <w:spacing w:after="0" w:line="5" w:lineRule="exact"/>
        <w:rPr>
          <w:sz w:val="20"/>
          <w:szCs w:val="20"/>
          <w:color w:val="auto"/>
        </w:rPr>
      </w:pPr>
    </w:p>
    <w:p>
      <w:pPr>
        <w:ind w:left="1260" w:right="1019" w:firstLine="2"/>
        <w:spacing w:after="0" w:line="260" w:lineRule="auto"/>
        <w:tabs>
          <w:tab w:leader="none" w:pos="15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purchase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last trading day of the purchase period). For this purpose, “fair market value” generally means the closing price of a share of Class B common stock on the applicable date.</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Each purchase right automatically will be exercised on the applicable purchase date, and shares of Class B common stock will be purchased on behalf of each employee by applying the employee’s contributions for the applicable purchase period to the purchase of whole shares of Class B common stock at the purchase price in effect for that purchase date. The maximum number of shares of Class B common</w:t>
      </w:r>
    </w:p>
    <w:p>
      <w:pPr>
        <w:spacing w:after="0" w:line="2" w:lineRule="exact"/>
        <w:rPr>
          <w:sz w:val="20"/>
          <w:szCs w:val="20"/>
          <w:color w:val="auto"/>
        </w:rPr>
      </w:pPr>
    </w:p>
    <w:p>
      <w:pPr>
        <w:ind w:left="1260" w:right="999"/>
        <w:spacing w:after="0" w:line="243" w:lineRule="auto"/>
        <w:rPr>
          <w:sz w:val="20"/>
          <w:szCs w:val="20"/>
          <w:color w:val="auto"/>
        </w:rPr>
      </w:pPr>
      <w:r>
        <w:rPr>
          <w:rFonts w:ascii="Times New Roman" w:cs="Times New Roman" w:eastAsia="Times New Roman" w:hAnsi="Times New Roman"/>
          <w:sz w:val="18"/>
          <w:szCs w:val="18"/>
          <w:color w:val="auto"/>
        </w:rPr>
        <w:t>stock purchasable per employee during any single offering period may not exceed shares, or such other amount as may be designated by the committee.</w:t>
      </w:r>
    </w:p>
    <w:p>
      <w:pPr>
        <w:spacing w:after="0" w:line="9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Withdrawals and Termination of Employment. </w:t>
      </w:r>
      <w:r>
        <w:rPr>
          <w:rFonts w:ascii="Times New Roman" w:cs="Times New Roman" w:eastAsia="Times New Roman" w:hAnsi="Times New Roman"/>
          <w:sz w:val="18"/>
          <w:szCs w:val="18"/>
          <w:color w:val="auto"/>
        </w:rPr>
        <w:t>An employee may withdraw from participating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ESPP in an offering period and receive a refund of his or her contributions by following the procedures prescribed by the committee. Upon receipt of a notice of withdrawal, deductions of contributions on behalf of the employee will be discontinued commencing with the payroll period immediately following the effective date of the notice of withdrawal, and such employee will be ineligible to participate in the Global ESPP until the next enrollment period. Amounts credited to the account of any employee who withdraws will be refunded, without interest, as soon as practicable. Upon termination of employment or other loss of eligible employee status for any reason, Global ESPP participation is immediately terminated, contributions will be discontinued and any amounts then credited to the employee’s contribution account will be refunded, without interest, as soon as practicable</w:t>
      </w:r>
    </w:p>
    <w:p>
      <w:pPr>
        <w:spacing w:after="0" w:line="31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Global ESPP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 liquidation or dissolution of the Company), our board of directors or the committee may take any action it deems necessary with respect to the outstanding rights to purchase shares of Class B common stock, including but not limited to, accelerating the purchase date or discontinuing contributions and refunding any previously made contributions, without interest, as soon as practicable. Our board of directors or committee has the right to determine the treatment of outstanding purchase rights under the Global ESPP in the event of a liquidation or dissolution of the Company.</w:t>
      </w:r>
    </w:p>
    <w:p>
      <w:pPr>
        <w:spacing w:after="0" w:line="11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of ESPP. </w:t>
      </w:r>
      <w:r>
        <w:rPr>
          <w:rFonts w:ascii="Times New Roman" w:cs="Times New Roman" w:eastAsia="Times New Roman" w:hAnsi="Times New Roman"/>
          <w:sz w:val="18"/>
          <w:szCs w:val="18"/>
          <w:color w:val="auto"/>
        </w:rPr>
        <w:t>Our board of directors or the committee may amend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at any time, provided that if shareholder approval is required pursuant to the Code, securities laws or regulations, or the rules or regulations of the securities exchange on which the Company’s shares of Class B common stock are listed or traded, then no such amendment will be effective unless approved by the Company’s shareholders within such time period as may be required. Our board of directors may suspend the Global ESPP or discontinue the Global ESPP at any time, including shortening an offering period in connection with a spin-off or similar corporate event. Upon termination of the Global ESPP, all contributions will cease, all amounts credited to an employee’s account will be equitably applied to the purchase of whole shares of Class B common stock then available for sale, and any remaining amounts will be promptly refunded, without interest, to the employees.</w:t>
      </w:r>
    </w:p>
    <w:p>
      <w:pPr>
        <w:spacing w:after="0" w:line="18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4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or paid to each of our non-employee directors for fiscal year 2019.</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Fees Earned</w:t>
            </w: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Paid in</w:t>
            </w: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7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9"/>
                <w:szCs w:val="19"/>
                <w:color w:val="auto"/>
              </w:rPr>
            </w:pPr>
          </w:p>
        </w:tc>
        <w:tc>
          <w:tcPr>
            <w:tcW w:w="520" w:type="dxa"/>
            <w:vAlign w:val="bottom"/>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(2)</w:t>
            </w:r>
          </w:p>
        </w:tc>
        <w:tc>
          <w:tcPr>
            <w:tcW w:w="200" w:type="dxa"/>
            <w:vAlign w:val="bottom"/>
          </w:tcPr>
          <w:p>
            <w:pPr>
              <w:spacing w:after="0"/>
              <w:rPr>
                <w:sz w:val="19"/>
                <w:szCs w:val="19"/>
                <w:color w:val="auto"/>
              </w:rPr>
            </w:pPr>
          </w:p>
        </w:tc>
        <w:tc>
          <w:tcPr>
            <w:tcW w:w="520" w:type="dxa"/>
            <w:vAlign w:val="bottom"/>
          </w:tcPr>
          <w:p>
            <w:pPr>
              <w:jc w:val="right"/>
              <w:ind w:right="44"/>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(3)</w:t>
            </w:r>
          </w:p>
        </w:tc>
        <w:tc>
          <w:tcPr>
            <w:tcW w:w="220" w:type="dxa"/>
            <w:vAlign w:val="bottom"/>
          </w:tcPr>
          <w:p>
            <w:pPr>
              <w:spacing w:after="0"/>
              <w:rPr>
                <w:sz w:val="19"/>
                <w:szCs w:val="19"/>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2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6"/>
                <w:szCs w:val="26"/>
                <w:color w:val="auto"/>
                <w:vertAlign w:val="superscript"/>
              </w:rPr>
              <w:t>(1)</w:t>
            </w: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2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16,500</w:t>
            </w: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-179070</wp:posOffset>
            </wp:positionV>
            <wp:extent cx="137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-179070</wp:posOffset>
            </wp:positionV>
            <wp:extent cx="137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-179070</wp:posOffset>
            </wp:positionV>
            <wp:extent cx="137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999" w:hanging="358"/>
        <w:spacing w:after="0" w:line="282"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 annual cash retainer of $15,000 for Kirk Griswold’s service as chair of the audit committee of our board of directors.</w:t>
      </w:r>
    </w:p>
    <w:p>
      <w:pPr>
        <w:spacing w:after="0" w:line="26" w:lineRule="exact"/>
        <w:rPr>
          <w:rFonts w:ascii="Times New Roman" w:cs="Times New Roman" w:eastAsia="Times New Roman" w:hAnsi="Times New Roman"/>
          <w:sz w:val="18"/>
          <w:szCs w:val="18"/>
          <w:color w:val="auto"/>
        </w:rPr>
      </w:pPr>
    </w:p>
    <w:p>
      <w:pPr>
        <w:ind w:left="1620" w:right="739" w:hanging="358"/>
        <w:spacing w:after="0" w:line="256"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elected to receive shares of Class B common stock in lieu of a $50,000 annual cash retainer, which he was entitled to in connection with his service on our board of directors. This amount reflects the grant-date fair value of such stock award computed in accordance with ASC Topic 718, rather than the amounts paid to or realized by Kirk Griswold. We provide information regarding the assumptions used to calculate the value of all stock awards made to our directors in Note 13 to our consolidated financial statements included elsewhere in this prospectus.</w:t>
      </w:r>
    </w:p>
    <w:p>
      <w:pPr>
        <w:spacing w:after="0" w:line="38"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options granted during fiscal year 2019 computed</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spacing w:after="0" w:line="266" w:lineRule="auto"/>
        <w:rPr>
          <w:sz w:val="20"/>
          <w:szCs w:val="20"/>
          <w:color w:val="auto"/>
        </w:rPr>
      </w:pPr>
      <w:r>
        <w:rPr>
          <w:rFonts w:ascii="Times New Roman" w:cs="Times New Roman" w:eastAsia="Times New Roman" w:hAnsi="Times New Roman"/>
          <w:sz w:val="18"/>
          <w:szCs w:val="18"/>
          <w:color w:val="auto"/>
        </w:rPr>
        <w:t>in accordance with ASC Topic 718, rather than the amounts paid to or realized by Kirk Griswold. We provide information regarding the assumptions used to calculate the value of all option awards made to our directors in Note 13 to our consolidated financial statements included elsewhere in this prospectus.</w:t>
      </w:r>
    </w:p>
    <w:p>
      <w:pPr>
        <w:spacing w:after="0" w:line="95" w:lineRule="exact"/>
        <w:rPr>
          <w:sz w:val="20"/>
          <w:szCs w:val="20"/>
          <w:color w:val="auto"/>
        </w:rPr>
      </w:pPr>
    </w:p>
    <w:p>
      <w:pPr>
        <w:ind w:left="1260" w:right="1419" w:firstLine="360"/>
        <w:spacing w:after="0" w:line="266" w:lineRule="auto"/>
        <w:rPr>
          <w:sz w:val="20"/>
          <w:szCs w:val="20"/>
          <w:color w:val="auto"/>
        </w:rPr>
      </w:pPr>
      <w:r>
        <w:rPr>
          <w:rFonts w:ascii="Times New Roman" w:cs="Times New Roman" w:eastAsia="Times New Roman" w:hAnsi="Times New Roman"/>
          <w:sz w:val="18"/>
          <w:szCs w:val="18"/>
          <w:color w:val="auto"/>
        </w:rPr>
        <w:t>Kirk Griswold was our only non-employee director in fiscal year 2019. The below reflects the aggregate number of outstanding equity awards held by Kirk Griswold as of December 31, 2019:</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8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146"/>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at Fiscal</w:t>
            </w:r>
          </w:p>
        </w:tc>
      </w:tr>
      <w:tr>
        <w:trPr>
          <w:trHeight w:val="24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 End</w:t>
            </w:r>
            <w:r>
              <w:rPr>
                <w:rFonts w:ascii="Times New Roman" w:cs="Times New Roman" w:eastAsia="Times New Roman" w:hAnsi="Times New Roman"/>
                <w:sz w:val="21"/>
                <w:szCs w:val="21"/>
                <w:b w:val="1"/>
                <w:bCs w:val="1"/>
                <w:color w:val="auto"/>
                <w:w w:val="91"/>
                <w:vertAlign w:val="superscript"/>
              </w:rPr>
              <w:t>(1)</w:t>
            </w: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98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w w:val="96"/>
              </w:rPr>
              <w:t>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759" w:hanging="358"/>
        <w:spacing w:after="0" w:line="282" w:lineRule="auto"/>
        <w:tabs>
          <w:tab w:leader="none" w:pos="1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holds options to purchase 60,000 shares of our Class B common stock, 27,500 shares of which are vested and 32,500 shares of which are unvested.</w:t>
      </w:r>
    </w:p>
    <w:p>
      <w:pPr>
        <w:spacing w:after="0" w:line="94"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Our employee directors for fiscal year 2019, Barry J. Bentley, Gregory S. Bentley, Keith A. Bentley, and Raymond B. Bentley, did not receive any additional compensation for their service on our board of directors and it continues to be the case in fiscal year 2020 that employee directors will not receive additional compensation for such service. See the section titled “Executive and Director Compensation” above for more information about Gregory S. Bentley and Keith A. Bentley’s compensation for fiscal year 2019.</w:t>
      </w:r>
    </w:p>
    <w:p>
      <w:pPr>
        <w:spacing w:after="0" w:line="324"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Prior to our adoption of the Bentley Systems, Incorporated Non -Employee Director Compensation Policy described below, our non-employee directors were entitled to receive an annual cash retainer of $50,000 (paid in equal quarterly installments) for service on our board of directors, as well as an additional cash retainer of $15,000 for service on the audit committee of our board of directors. Prior to each applicable year, each such director could elect to receive shares of our Class B common stock with a fair market value of $50,000 as of the commencement of such year (paid quarterly in equal installments) in lieu of the $50,000 annual cash retainer. Each non- employee director was also entitled to receive an initial option award to purchase 25,000 shares of our Class B common stock upon his or her appointment to our board of directors and an annual option award to purchase 10,000 shares of our Class B common stock. All options granted to non- employee directors (including all options granted to Kirk Griswold described herein) vest ratably on each of the first four anniversaries of the grant date, subject to the director’s continued service with us through the applicable vesting dates.</w:t>
      </w:r>
    </w:p>
    <w:p>
      <w:pPr>
        <w:spacing w:after="0" w:line="288"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Kirk Griswold was our only non -employee director in fiscal year 2019 and elected to receive shares of our Class B common stock in lieu of the annual cash retainer payable in fiscal year 2019. As a result, in fiscal year 2019 Kirk Griswold received a $15,000 cash retainer for his service on the audit committee as well as an aggregate of 7,016 shares of our Class B common stock in four installments occurring on each original quarterly payment date for his annual cash retainer.</w:t>
      </w:r>
    </w:p>
    <w:p>
      <w:pPr>
        <w:spacing w:after="0" w:line="117"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Further, on May 15, 2019, Kirk Griswold received an annual option grant to purchase 10,000 shares of Class B common stock at an exercise price per share of $7.24. Additionally, Kirk Griswold previously received option grants in connection with his service on our board of directors of: an option for 20,000 shares of our Class B common stock, granted on May 11, 2016 at an exercise price per share of $5.23; an option for 20,000 shares of our Class B common stock, granted on May 10, 2017 at an exercise price per share of $5.38; and an option for 10,000 shares of our Class B common stock, granted on May 29, 2018 at an exercise price per share of $6.805.</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As discussed above in “— Other Benefits and Perquisites — Nonqualified Deferred Compensation,” our non-employee directors are eligible to participate in our Nonqualified Deferred Compensation Plan for Non-Employee Directors, which permits such directors to defer all or any part of their director compensation. Deferrals under our Nonqualified Deferred Compensation Plan for Non-Employee Directors will be paid out, as elected by the participating non -employee director, after the earliest to occur of (i) his or her separation from service (within the meaning of Code Section 409A), (ii) a date or dates chosen by the director, or (iii) a change in control that meets the requirements of Code Section 409A. As elected by the non-employee director, distributions will be made as a single distribution or in annual installments for a period of two to ten years. All deferrals are deemed invested in phantom shares of our Class B common stock, dividend equivalents are credited on such phantom shares and deemed reinvested as additional phantom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shares, and all benefits are distributed in actual shares of our Class B common stock. 500,000 shares of our Class B common stock are authorized for issuance under our Nonqualified Deferred Compensation Plan for Non-Employee Directors. Our board of directors may terminate or amend this plan at any time, but no termination or amendment can materially impair the rights of a participant without his or her consent. Kirk Griswold did not defer any compensation under such plan during fiscal year 2019.</w:t>
      </w:r>
    </w:p>
    <w:p>
      <w:pPr>
        <w:spacing w:after="0" w:line="102"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On March 12, 2020, we adopted the Bentley Systems, Incorporated Independent Director Compensation Policy, which we amended and renamed the Bentley Systems, Incorporated Non-Employee Director Compensation Policy on September 3, 2020. The Bentley Systems, Incorporated Non-Employee Director Compensation Policy, which will be effective upon the consummation of this offering, will be implemented for directors elected or re-elected in 2020 and supersedes the director compensation policy described above. The new policy provides that all non-employee directors will be paid compensation for services provided to us as set forth below:</w:t>
      </w:r>
    </w:p>
    <w:p>
      <w:pPr>
        <w:spacing w:after="0" w:line="81" w:lineRule="exact"/>
        <w:rPr>
          <w:sz w:val="20"/>
          <w:szCs w:val="20"/>
          <w:color w:val="auto"/>
        </w:rPr>
      </w:pPr>
    </w:p>
    <w:p>
      <w:pPr>
        <w:ind w:left="1800" w:right="819" w:hanging="178"/>
        <w:spacing w:after="0" w:line="26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payable upon the non-employee director’s first election or appointment to our board of directors if upon election such director is an independent director under the rules and regulations of any exchange on which the Company’s stock is listed;</w:t>
      </w:r>
    </w:p>
    <w:p>
      <w:pPr>
        <w:spacing w:after="0" w:line="67"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$100,000 worth of our Class B common stock (awarded pursuant to our 2015 Equity Incentive Plan, or any successor plan then in effect), granted upon the non-employee director’s first election or appointment to our board of directors;</w:t>
      </w:r>
    </w:p>
    <w:p>
      <w:pPr>
        <w:spacing w:after="0" w:line="71"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$150,000 worth of our Class B common stock (awarded pursuant to our 2015 Equity Incentive Plan, or any successor plan then in effect), granted immediately following the non-employee director’s re-election to our board of directors at our Annual Meeting of Stockholders;</w:t>
      </w:r>
    </w:p>
    <w:p>
      <w:pPr>
        <w:spacing w:after="0" w:line="7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our board of directors;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one or more committees of our board of directors; and</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$75,000 for service as the chairperson on one or more committees of our board of directors.</w:t>
      </w:r>
    </w:p>
    <w:p>
      <w:pPr>
        <w:spacing w:after="0" w:line="9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All cash retainers will be paid annually in advance, with 25% of each such retainer deemed to be compensation for each calendar quarter of service during the applicable calendar year. If a director resigns from our board of directors or is removed for cause, such director will be obligated to repay to us any cash retainer amounts attributable to calendar quarters for which services will not be rendered for a full calendar quarter during the applicable year (with no pro-rata credit for service during part of a quarter). A non-employee director who serves as a member of more than one board committee will only receive one annual committee member service retainer and a non-employee director who serves as the chairperson of more than one board committee will only receive one annual committee chairperson service retainer. A non-employee director who receives an annual retainer for service as a committee chairperson will not also receive an annual retainer for service as a member of a committee.</w:t>
      </w:r>
    </w:p>
    <w:p>
      <w:pPr>
        <w:spacing w:after="0" w:line="12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Except for the annual retainer for service as the chairperson of a board committee, each non-employee director who has never been an employee of the Company or its subsidiaries may elect to receive his or her annual cash retainer in the form of an award of restricted stock (awarded under our 2015 Equity Incentive Plan, or any successor plan then in effect), based on the fair market value of our Class B common stock on the applicable award date, which restricted stock award will be subject to vesting as to 25% of the award at the end of each calendar quarter during the applicable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We have not been a party to any transactions since January 1, 2017 in which the amount involved exceeded $120,000 and in which any of our executive officers, directors or beneficial holders of more than five percent of our capital stock had or will have a direct or indirect material interest, other than the arrangements described below or under the section titled “Executive and Director Compensation.”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Siemens AG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162"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In September 2016, we and the Bentleys (other than Richard P. Bentley, who is not a party to the Common Stock Purchase Agreement) and certain of their family members and family trusts entered into a Common Stock Purchase Agreement with Siemens AG (“Siemens”), as amended, pursuant to which Siemens was authorized, and agreed, to acquire (prior to our IPO) up to $100 million of our Class B common stock from our existing stockholders. Subsequent amendments increased this amount to</w:t>
      </w:r>
    </w:p>
    <w:p>
      <w:pPr>
        <w:spacing w:after="0" w:line="3"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$250 million (the “Maximum Purchase Amount”). The Maximum Purchase Amount, upon the earlier of September 2021 or the Maximum Purchase Amount being reached, increases by $20 million on each subsequent anniversary of the date of the Common Stock Purchase Agreement so long as the Strategic Collaboration Agreement (as defined below) remains in effect on each subsequent anniversary, with the next increase to the Maximum Purchase Amount set to occur on September 23, 2020. For the years ended December 31, 2017, 2018, and 2019, Siemens paid $58.1 million, $39.0 million, and $5.7 million, respectively, for an aggregate of 16.4 million shares of our Class B common stock. As of December 31, 2019, Siemens beneficially owned, through one or more of its affiliates, 30,995,246 shares of our Class B common stock. On June 18, 2020, Siemens purchased an additional 4,574,399 Class B common shares from our existing stockholders for $15.48 per share to reach the Maximum Purchase Amount of $250 million. As of June 30, 2020, Siemens beneficially owned, through one or more of its affiliates, 35,569,645 shares of our Class B common stock.</w:t>
      </w:r>
    </w:p>
    <w:p>
      <w:pPr>
        <w:spacing w:after="0" w:line="34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opportunity to acquire shares of our Class B common stock, the Common Stock Purchase Agreement also granted to Siemens: (i) certain information rights prior to the effectiveness of the registration statement of which this prospectus forms a part, including the right to receive our financial statements and information regarding our capital structure; and (ii) certain protective rights prior to the effectiveness of the registration statement of which this prospectus forms a part, including provisions that</w:t>
      </w:r>
    </w:p>
    <w:p>
      <w:pPr>
        <w:spacing w:after="0" w:line="3" w:lineRule="exact"/>
        <w:rPr>
          <w:sz w:val="20"/>
          <w:szCs w:val="20"/>
          <w:color w:val="auto"/>
        </w:rPr>
      </w:pPr>
    </w:p>
    <w:p>
      <w:pPr>
        <w:ind w:left="1260" w:right="719" w:firstLine="2"/>
        <w:spacing w:after="0" w:line="251" w:lineRule="auto"/>
        <w:tabs>
          <w:tab w:leader="none" w:pos="156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amend, alter or repeal any provision of our certificate of incorporation and by-laws in a manner that disproportionately affects the powers, preferences or rights of our Class B common stock (other than, for the avoidance of doubt, any amendments, restatements or other modifications that by their terms are only effective upon the effectiveness of a registration statement in connection with an underwritten public offering of our common stock), and (B) limit the extent to which we could engage in repurchases of our common stock prior to Siemens’ cumulatively reaching the Maximum Purchase Amount. In addition, the Common Stock Purchase Agreement provides that upon the effectiveness of the registration statement of which this prospectus forms a part, (i) our Class B common stock will have voting rights and will be the class of securities offered to the public in such offering and (ii) our certificate of incorporation and any other related documentation shall be amended to reflect the voting rights, including voting ratios and sunset provisions agreed to in the Common Stock Purchase Agreement, and the Company shall not deviate from such voting structure in any manner adverse to Siemens in any material respect without Siemens’ prior written consent.</w:t>
      </w:r>
    </w:p>
    <w:p>
      <w:pPr>
        <w:spacing w:after="0" w:line="327"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along with the Bentley family members party to the Common Stock Purchase Agreement, also granted to Siemens a right of first refusal (and, as applicable, tag-along rights) on any fundamental sale transaction undertaken by the Company, as well as any new issuance of stock, and, subject to certain exceptions, sales of stock by the Bentley family members party thereto.</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effectiveness of the registration statement of which this prospectus forms a part, Siemens’ right of first refusal terminates (see “Prospectus Summary — Recent Developments — Relationship with Siemens”), but certain rights and restrictions set forth in the Common Stock Purchase Agreement continue to apply, including the following:</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Right of Participation. </w:t>
      </w:r>
      <w:r>
        <w:rPr>
          <w:rFonts w:ascii="Times New Roman" w:cs="Times New Roman" w:eastAsia="Times New Roman" w:hAnsi="Times New Roman"/>
          <w:sz w:val="18"/>
          <w:szCs w:val="18"/>
          <w:color w:val="auto"/>
        </w:rPr>
        <w:t>Following the effectiveness of the registration statement of which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forms a part, we and the Bentley family members party to the Common Stock Purchase Agreement have agreed, as applicable, to notify Siemens of our intent to undertake any fundamental sale transaction, non-public offering of stock by us or sale by any Bentley family member party thereto of more than 1% of our fully-diluted capital stock, including any such transaction that may come about as a result of a non-public offer from a third party. Upon receipt of such notice, Siemens has twenty days to submit to the Company or the relevant Bentley family member, as applicable, a binding offer to engage in such transaction and to propose material transaction terms. Siemens may from time to time improve its proposed terms subject to our or the relevant seller’s right to request “best and final” offers from Siemens and any other relevant third party. Neither we nor any member of the Bentley family party to the Common Stock Purchase Agreement is obligated to accept any offer submitted by Siemens, subject only to our agreement not to consummate any subject transaction with a third party on terms less favorable in the aggregate than those proposed by Siemens during the period beginning on the date Siemens proposes such offer and expiring twelve months thereafter or upon the expiration, withdrawal or revocation of Siemens’ offer, whichever comes first.</w:t>
      </w:r>
    </w:p>
    <w:p>
      <w:pPr>
        <w:spacing w:after="0" w:line="27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Rights in a Public Offering. </w:t>
      </w:r>
      <w:r>
        <w:rPr>
          <w:rFonts w:ascii="Times New Roman" w:cs="Times New Roman" w:eastAsia="Times New Roman" w:hAnsi="Times New Roman"/>
          <w:sz w:val="18"/>
          <w:szCs w:val="18"/>
          <w:color w:val="auto"/>
        </w:rPr>
        <w:t>If this offering is consummated after September 23, 2020, we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sell, and Siemens is required to purchase, at the initial public offering price, shares, which represents the number of additional shares necessary so that upon the consummation of this offering, Siemens shall have acquired (including pursuant to private sale transactions under the Common Stock Purchase Agreement prior to the effectiveness of the registration statement of which this prospectus forms a part) an aggregate of $270 million worth of our Class B common stock. We currently anticipate consummating this offering prior to September 23, 2020.</w:t>
      </w:r>
    </w:p>
    <w:p>
      <w:pPr>
        <w:spacing w:after="0" w:line="119"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If, following this offering, the Company issues shares of capital stock in a public offering, Siemens has the right to purchase, for the price per share used in such public offering, additional shares as are necessary so that Siemens’ percentage ownership on a fully diluted basis at the time of such public offering, is unchanged as a result of such public offering.</w:t>
      </w:r>
    </w:p>
    <w:p>
      <w:pPr>
        <w:spacing w:after="0" w:line="111"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Siemens has agreed in the Common Stock Purchase Agreement that, upon the effectiveness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registration statement of which this prospectus forms a part, it will not sell, make any short sale of, loan or otherwise dispose of any shares of Class B common stock (other than any shares sold to the underwriters) for a period of 180 days from the date of effectiveness. The Common Stock Purchase Agreement also requires Siemens to execute and deliver to the underwriters a lock-up agreement reflecting the foregoing terms.</w:t>
      </w:r>
    </w:p>
    <w:p>
      <w:pPr>
        <w:spacing w:after="0" w:line="311"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Standstill Agreement. </w:t>
      </w:r>
      <w:r>
        <w:rPr>
          <w:rFonts w:ascii="Times New Roman" w:cs="Times New Roman" w:eastAsia="Times New Roman" w:hAnsi="Times New Roman"/>
          <w:sz w:val="18"/>
          <w:szCs w:val="18"/>
          <w:color w:val="auto"/>
        </w:rPr>
        <w:t>Siemens has agreed that following the effectiveness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this prospectus forms a part, it will not directly or indirectly acquire shares of our Class B common stock such that following such acquisition Siemens and its affiliates, and the Company’s affiliates (each as determined under Rule 144) would beneficially own 80% or more of our issued and outstanding shares of capital stock.</w:t>
      </w:r>
    </w:p>
    <w:p>
      <w:pPr>
        <w:spacing w:after="0" w:line="323"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Disclaimer of Corporate Opportunity. </w:t>
      </w:r>
      <w:r>
        <w:rPr>
          <w:rFonts w:ascii="Times New Roman" w:cs="Times New Roman" w:eastAsia="Times New Roman" w:hAnsi="Times New Roman"/>
          <w:sz w:val="18"/>
          <w:szCs w:val="18"/>
          <w:color w:val="auto"/>
        </w:rPr>
        <w:t>We have waived to the fullest extent permitted by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any claim against Siemens based upon the corporate opportunity doctrine or otherwise that could limit Siemens’ ability to pursue other opportunities, including acquisitions or investments, that may compete with or be complimentary to our business, and Siemens is under no obligation to offer any such opportunities to us.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with such registration. In connection with any of these the registrations, we will indemnify Siemens and we will bear all fees, costs, and expenses (except underwriting commissions and discounts).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Collaboration Agreement</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In conjunction with the Common Stock Purchase Agreement, we entered into a strategic collaboration agreement with Siemens. This agreement governs our collaboration with Siemens and certain of its divisions on the development, marketing, and distribution of agreed upon software and software development projects. The initial term of the agreement lasts until December 31, 2026 and automatically renews for successive one year terms unless either party elects to terminate the agreement by providing notice of termination at least one year prior to the expiration of the then current term. In addition, Siemens has the right to terminate the agreement and any related collaboration projects if the Bentleys no longer own a majority of our voting power or if we otherwise undergo a change of control.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Licensing Transactions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Siemens, through its various affiliates, has historically been and continues to be a user of our software, including pursuant to one or more SELECT Agreements.</w:t>
      </w:r>
    </w:p>
    <w:p>
      <w:pPr>
        <w:spacing w:after="0" w:line="9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are also party to several royalty-bearing license agreements with certain Siemens affiliates pursuant to which each party has licensed technology from the other for use in its own software products. Certain of these arrangements generally pre-date Siemens’ acquisition of our Class B common stock. In addition, under the framework of the strategic collaboration agreement referenced above, we are party to several agreements with Siemens affiliates pursuant to which each party has the right to offer licenses and subscriptions to certain technology of the other party both independent of, and in connection with, interoperable solutions developed under the strategic collaboration agreement. For the years ended December 31, 2017, 2018, and 2019, Siemens paid us $2.0 million, $2.4 million, and $2.6 million, respectively, pursuant to the foregoing arrangements. For the years ended December 31, 2017, 2018, and 2019, we paid Siemens approximately $903,000, $968,000, and $1.0 million, respectively, pursuant to the foregoing arrangements.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At the completion of this offering, the Bentleys and certain of their permitted transferees will be parties to an amended and restated stockholders agreement (the “Stockholders Agreement”), to which we will not be a party.</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Stockholders Agreement will provide that the parties thereto, by a majority vote, will have the right to nominate a single slate of nominees for election in each election of our board of directors. Each party to the Stockholders Agreement will agree to vote all of such party’s shares to elect such slate of nominees to our board of directors, and no party to the Stockholders Agreement will approve the removal of any director nominated by majority vote without the consent of the parties to the Stockholders Agreement voting with the majority. In addition, the Stockholders Agreement will provide that the parties to the Stockholders Agreement, by a majority vote among them, shall determine the manner in which each party to the Stockholders Agreement shall vote all of the voting shares held by each party to the Stockholders Agreement on all other matters at meetings of the stockholders of the Company. No person who is not a Bentley or a permitted transferee thereof will have the right to participate in any majority vote under the Stockholders Agreement.</w:t>
      </w:r>
    </w:p>
    <w:p>
      <w:pPr>
        <w:spacing w:after="0" w:line="343"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Stockholders Agreement will also set forth certain restrictions on the ability of the parties thereto to freely transfer shares of our Class A common stock, except for permitted transfers to family members, entities controlled by or for the benefit of such party or such party’s family members, and parties taking a security interest in shares of our Class A common stock to secure indebtedness. In addition, the Stockholders Agreement will provide the parties thereto with (i) drag-along rights in the event the parties to the Stockholders Agreement determine by a majority vote to sell all shares of our stock held by them,</w:t>
      </w:r>
    </w:p>
    <w:p>
      <w:pPr>
        <w:spacing w:after="0" w:line="5" w:lineRule="exact"/>
        <w:rPr>
          <w:sz w:val="20"/>
          <w:szCs w:val="20"/>
          <w:color w:val="auto"/>
        </w:rPr>
      </w:pPr>
    </w:p>
    <w:p>
      <w:pPr>
        <w:ind w:left="1260" w:right="679" w:firstLine="2"/>
        <w:spacing w:after="0" w:line="255" w:lineRule="auto"/>
        <w:tabs>
          <w:tab w:leader="none" w:pos="154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first refusal in the event a party to the Stockholders Agreement wishes to sell shares of our Class A common stock to a person who is not a permitted transferee and (iii) rights to purchase shares of our Class A common stock held by a party to the Stockholders Agreement prior to their transfer by reason of</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bankruptcy or insolvency proceedings, attachment or garnishment, divorce or other involuntary transfer (other than by reason of death).</w:t>
      </w:r>
    </w:p>
    <w:p>
      <w:pPr>
        <w:spacing w:after="0" w:line="81"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For information on the beneficial ownership of shares of our common stock by the Bentleys and the Bentley Family, see the section titled “Principal and Selling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our Directors and Officers</w:t>
      </w:r>
    </w:p>
    <w:p>
      <w:pPr>
        <w:spacing w:after="0" w:line="162"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by-laws will require us to indemnify our directors and the officers designated by our board of directors to the fullest extent permitted by Delaware law. Subject to certain limitations, our amended and restated by-laws also require us to advance expenses incurred by our directors and such officers.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Approval of Related-Party Transactions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our Class B common stock, we have adopted a written policy relating to the approval of related-party transactions. We will review relationships and transactions in which we and our directors, executive officers or certain stockholders or their immediate family members are participants to determine whether such persons have a direct or indirect material interest. Our legal, accounting, and finance staff will be primarily responsible for the development and implementation of processes and controls to obtain information from our directors and executive officers with respect to related-party transactions and for determining, based on the facts and circumstances, whether we or a related person have a direct or indirect material interest in the transaction.</w:t>
      </w:r>
    </w:p>
    <w:p>
      <w:pPr>
        <w:spacing w:after="0" w:line="111"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addition, our Audit Committee will review and approve or ratify any related-party transaction reaching a certain threshold of significance. In approving or rejecting any such transaction, we expect that our Audit Committee will consider the relevant facts and circumstances available and deemed relevant to the Audit Committee.</w:t>
      </w:r>
    </w:p>
    <w:p>
      <w:pPr>
        <w:spacing w:after="0" w:line="112" w:lineRule="exact"/>
        <w:rPr>
          <w:sz w:val="20"/>
          <w:szCs w:val="20"/>
          <w:color w:val="auto"/>
        </w:rPr>
      </w:pPr>
    </w:p>
    <w:p>
      <w:pPr>
        <w:jc w:val="both"/>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will not be permitted to participate in the deliberations or vote on approval or ratification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4, 2020, after giving effect to the Charter Amendments and as adjusted to reflect the sale of shares of our Class B common stock offered by this prospectus (but assuming no exercise of the underwriters’ option to purchase additional shares), by:</w:t>
      </w:r>
    </w:p>
    <w:p>
      <w:pPr>
        <w:spacing w:after="0" w:line="72" w:lineRule="exact"/>
        <w:rPr>
          <w:sz w:val="20"/>
          <w:szCs w:val="20"/>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stockholders;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stockholders or groups of each holding less than 1%;</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1019" w:hanging="178"/>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five percent of any class of our voting securities.</w:t>
      </w:r>
    </w:p>
    <w:p>
      <w:pPr>
        <w:spacing w:after="0" w:line="94"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set forth opposite such person’s name, subject to community property laws where applicable. We have deemed shares of our common stock to be outstanding and beneficially owned by a person for the purpose of computing their percentage ownership if that person has the right to acquire voting or investment power in respect of such common stock within 60 days of September 4, 2020. Our calculation of the percentage of beneficial ownership before the offering is based on 11,601,757 shares of Class A common stock and 247,856,647 shares of Class B common stock outstanding as of September 4, 2020, and, with respect to such percentages following the offering, as adjusted to reflect the issuance of 994,912 total shares of restricted Class B common stock and restricted stock units issued in July 2020 that will vest automatically upon the consummation of this offering, reduced by 32,238 of such restricted stock units that will be settled in cash, and 1,025,461 shares of Class B common stock to be sold in this offering following the exercise of stock options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6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c/o Bentley Systems, Incorporated, 685 Stockton Drive, Exton, PA 19341.</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7"/>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8"/>
              </w:rPr>
              <w:t>before the offering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 of total</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0" w:type="dxa"/>
            <w:vAlign w:val="bottom"/>
            <w:gridSpan w:val="6"/>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after the offering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voting</w:t>
            </w: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voting power</w:t>
            </w: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power</w:t>
            </w:r>
          </w:p>
        </w:tc>
        <w:tc>
          <w:tcPr>
            <w:tcW w:w="0" w:type="dxa"/>
            <w:vAlign w:val="bottom"/>
          </w:tcPr>
          <w:p>
            <w:pPr>
              <w:spacing w:after="0"/>
              <w:rPr>
                <w:sz w:val="1"/>
                <w:szCs w:val="1"/>
                <w:color w:val="auto"/>
              </w:rPr>
            </w:pPr>
          </w:p>
        </w:tc>
      </w:tr>
      <w:tr>
        <w:trPr>
          <w:trHeight w:val="77"/>
        </w:trPr>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auto"/>
                <w:w w:val="96"/>
              </w:rPr>
              <w:t>before the</w:t>
            </w:r>
          </w:p>
        </w:tc>
        <w:tc>
          <w:tcPr>
            <w:tcW w:w="720" w:type="dxa"/>
            <w:vAlign w:val="bottom"/>
            <w:gridSpan w:val="2"/>
            <w:vMerge w:val="restart"/>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after the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1"/>
                <w:szCs w:val="21"/>
                <w:b w:val="1"/>
                <w:bCs w:val="1"/>
                <w:color w:val="auto"/>
                <w:w w:val="90"/>
                <w:vertAlign w:val="superscript"/>
              </w:rPr>
              <w:t>(1)</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Officers, Directors and Director</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Nominee</w:t>
            </w: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Keith A. Bentley</w:t>
            </w:r>
            <w:r>
              <w:rPr>
                <w:rFonts w:ascii="Times New Roman" w:cs="Times New Roman" w:eastAsia="Times New Roman" w:hAnsi="Times New Roman"/>
                <w:sz w:val="21"/>
                <w:szCs w:val="21"/>
                <w:color w:val="auto"/>
                <w:vertAlign w:val="superscript"/>
              </w:rPr>
              <w:t>(2)(9)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3,340,793</w:t>
            </w:r>
          </w:p>
        </w:tc>
        <w:tc>
          <w:tcPr>
            <w:tcW w:w="11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28.8%15,779,747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3,340,793</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28.8% 15,779,747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Barry J. Bentley</w:t>
            </w:r>
            <w:r>
              <w:rPr>
                <w:rFonts w:ascii="Times New Roman" w:cs="Times New Roman" w:eastAsia="Times New Roman" w:hAnsi="Times New Roman"/>
                <w:sz w:val="21"/>
                <w:szCs w:val="21"/>
                <w:color w:val="auto"/>
                <w:vertAlign w:val="superscript"/>
              </w:rPr>
              <w:t>(3)(9)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3,340,793</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28.8%13,575,643</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3,340,793</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 13,575,643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Gregory S. Bentley</w:t>
            </w:r>
            <w:r>
              <w:rPr>
                <w:rFonts w:ascii="Times New Roman" w:cs="Times New Roman" w:eastAsia="Times New Roman" w:hAnsi="Times New Roman"/>
                <w:sz w:val="21"/>
                <w:szCs w:val="21"/>
                <w:color w:val="auto"/>
                <w:vertAlign w:val="superscript"/>
              </w:rPr>
              <w:t>(4)(9)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1,926,509</w:t>
            </w:r>
          </w:p>
        </w:tc>
        <w:tc>
          <w:tcPr>
            <w:tcW w:w="11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16.6% 6,480,738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1,926,509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6,480,738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B. Bentley</w:t>
            </w:r>
            <w:r>
              <w:rPr>
                <w:rFonts w:ascii="Times New Roman" w:cs="Times New Roman" w:eastAsia="Times New Roman" w:hAnsi="Times New Roman"/>
                <w:sz w:val="21"/>
                <w:szCs w:val="21"/>
                <w:color w:val="auto"/>
                <w:vertAlign w:val="superscript"/>
              </w:rPr>
              <w:t>(5)(9)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1,655,397</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14.3%18,811,889</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1,655,397</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 18,811,889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Kirk B. Griswold</w:t>
            </w:r>
            <w:r>
              <w:rPr>
                <w:rFonts w:ascii="Times New Roman" w:cs="Times New Roman" w:eastAsia="Times New Roman" w:hAnsi="Times New Roman"/>
                <w:sz w:val="21"/>
                <w:szCs w:val="21"/>
                <w:color w:val="auto"/>
                <w:vertAlign w:val="superscript"/>
              </w:rPr>
              <w:t>(6)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477,849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21,225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456,624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Brian F. Hughes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11,531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11,531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Janet B. Haugen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J. Hollister</w:t>
            </w:r>
            <w:r>
              <w:rPr>
                <w:rFonts w:ascii="Times New Roman" w:cs="Times New Roman" w:eastAsia="Times New Roman" w:hAnsi="Times New Roman"/>
                <w:sz w:val="21"/>
                <w:szCs w:val="21"/>
                <w:color w:val="auto"/>
                <w:vertAlign w:val="superscript"/>
              </w:rPr>
              <w:t>(7)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1,491,112</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382,048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1,109,064</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executive officers, directors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director nominee as a group</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10,263,492</w:t>
            </w:r>
          </w:p>
        </w:tc>
        <w:tc>
          <w:tcPr>
            <w:tcW w:w="11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88.5%57,267,763</w:t>
            </w: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99"/>
              </w:rPr>
              <w:t>23.1%</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403,273</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10,263,492</w:t>
            </w:r>
          </w:p>
        </w:tc>
        <w:tc>
          <w:tcPr>
            <w:tcW w:w="12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88.5% 56,864,490</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76"/>
        </w:trPr>
        <w:tc>
          <w:tcPr>
            <w:tcW w:w="27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color w:val="auto"/>
              </w:rPr>
              <w:t>(9 persons)</w:t>
            </w:r>
            <w:r>
              <w:rPr>
                <w:rFonts w:ascii="Times New Roman" w:cs="Times New Roman" w:eastAsia="Times New Roman" w:hAnsi="Times New Roman"/>
                <w:sz w:val="20"/>
                <w:szCs w:val="20"/>
                <w:color w:val="auto"/>
                <w:vertAlign w:val="superscript"/>
              </w:rPr>
              <w:t>(8)</w:t>
            </w:r>
          </w:p>
        </w:tc>
        <w:tc>
          <w:tcPr>
            <w:tcW w:w="760" w:type="dxa"/>
            <w:vAlign w:val="bottom"/>
            <w:gridSpan w:val="2"/>
            <w:vMerge w:val="continue"/>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Stockholders</w:t>
            </w: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P. Bentley</w:t>
            </w:r>
            <w:r>
              <w:rPr>
                <w:rFonts w:ascii="Times New Roman" w:cs="Times New Roman" w:eastAsia="Times New Roman" w:hAnsi="Times New Roman"/>
                <w:sz w:val="21"/>
                <w:szCs w:val="21"/>
                <w:color w:val="auto"/>
                <w:vertAlign w:val="superscript"/>
              </w:rPr>
              <w:t>(9)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3,000,000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848,996</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2,151,004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Siemens International Holding B.V.</w:t>
            </w:r>
            <w:r>
              <w:rPr>
                <w:rFonts w:ascii="Times New Roman" w:cs="Times New Roman" w:eastAsia="Times New Roman" w:hAnsi="Times New Roman"/>
                <w:sz w:val="21"/>
                <w:szCs w:val="21"/>
                <w:color w:val="auto"/>
                <w:vertAlign w:val="superscript"/>
              </w:rPr>
              <w:t>(10)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8"/>
              </w:rPr>
              <w:t>35,569,645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14.4%</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35,569,645</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Selling Stockholders or Groups of Selling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20"/>
                <w:szCs w:val="20"/>
                <w:b w:val="1"/>
                <w:bCs w:val="1"/>
                <w:color w:val="auto"/>
                <w:vertAlign w:val="superscript"/>
              </w:rPr>
              <w:t>(11)</w:t>
            </w: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selling in excess of 100,000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shares of Class B common stock:</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Jean-Baptiste Monnier</w:t>
            </w:r>
            <w:r>
              <w:rPr>
                <w:rFonts w:ascii="Times New Roman" w:cs="Times New Roman" w:eastAsia="Times New Roman" w:hAnsi="Times New Roman"/>
                <w:sz w:val="21"/>
                <w:szCs w:val="21"/>
                <w:color w:val="auto"/>
                <w:vertAlign w:val="superscript"/>
              </w:rPr>
              <w:t>(12)(15)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1,874,097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1,521,115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22,500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352,982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Alton B. Cleveland, Jr.</w:t>
            </w:r>
            <w:r>
              <w:rPr>
                <w:rFonts w:ascii="Times New Roman" w:cs="Times New Roman" w:eastAsia="Times New Roman" w:hAnsi="Times New Roman"/>
                <w:sz w:val="21"/>
                <w:szCs w:val="21"/>
                <w:color w:val="auto"/>
                <w:vertAlign w:val="superscript"/>
              </w:rPr>
              <w:t>(13)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756,138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628,257</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127,881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Sabina B. Singh M17 Trust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552,958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469,459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83,499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Sabina B. Singh 2020 GRAT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380,000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322,618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57,382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Singh 2019 Grantor Retained Annuity</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656,720</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283,629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373,091</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Trust</w:t>
            </w:r>
          </w:p>
        </w:tc>
        <w:tc>
          <w:tcPr>
            <w:tcW w:w="760" w:type="dxa"/>
            <w:vAlign w:val="bottom"/>
            <w:gridSpan w:val="2"/>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Fidelity Investments Charitable Gift Fund</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292,340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248,195</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44,145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W. Mitchell Jr. Profit Sharing Plan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238,372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202,377</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35,995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Malcolm S. Walter</w:t>
            </w:r>
            <w:r>
              <w:rPr>
                <w:rFonts w:ascii="Times New Roman" w:cs="Times New Roman" w:eastAsia="Times New Roman" w:hAnsi="Times New Roman"/>
                <w:sz w:val="21"/>
                <w:szCs w:val="21"/>
                <w:color w:val="auto"/>
                <w:vertAlign w:val="superscript"/>
              </w:rPr>
              <w:t>(14)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461,226</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232,687</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228,539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Stylianos Camateros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253,794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215,470</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38,324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Suzan E. Willcox</w:t>
            </w:r>
            <w:r>
              <w:rPr>
                <w:rFonts w:ascii="Times New Roman" w:cs="Times New Roman" w:eastAsia="Times New Roman" w:hAnsi="Times New Roman"/>
                <w:sz w:val="21"/>
                <w:szCs w:val="21"/>
                <w:color w:val="auto"/>
                <w:vertAlign w:val="superscript"/>
              </w:rPr>
              <w:t>(15)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145,241</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 2,182,030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192,912</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145,241</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1,989,118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J. Dulchinos</w:t>
            </w:r>
            <w:r>
              <w:rPr>
                <w:rFonts w:ascii="Times New Roman" w:cs="Times New Roman" w:eastAsia="Times New Roman" w:hAnsi="Times New Roman"/>
                <w:sz w:val="21"/>
                <w:szCs w:val="21"/>
                <w:color w:val="auto"/>
                <w:vertAlign w:val="superscript"/>
              </w:rPr>
              <w:t>(15)(16)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355,364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169,799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25,000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185,565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R. Whitesell</w:t>
            </w:r>
            <w:r>
              <w:rPr>
                <w:rFonts w:ascii="Times New Roman" w:cs="Times New Roman" w:eastAsia="Times New Roman" w:hAnsi="Times New Roman"/>
                <w:sz w:val="21"/>
                <w:szCs w:val="21"/>
                <w:color w:val="auto"/>
                <w:vertAlign w:val="superscript"/>
              </w:rPr>
              <w:t>(17)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266,261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166,770</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99,491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Alan P. Kiraly</w:t>
            </w:r>
            <w:r>
              <w:rPr>
                <w:rFonts w:ascii="Times New Roman" w:cs="Times New Roman" w:eastAsia="Times New Roman" w:hAnsi="Times New Roman"/>
                <w:sz w:val="21"/>
                <w:szCs w:val="21"/>
                <w:color w:val="auto"/>
                <w:vertAlign w:val="superscript"/>
              </w:rPr>
              <w:t>(18)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192,016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161,035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30,981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Riddle</w:t>
            </w:r>
            <w:r>
              <w:rPr>
                <w:rFonts w:ascii="Times New Roman" w:cs="Times New Roman" w:eastAsia="Times New Roman" w:hAnsi="Times New Roman"/>
                <w:sz w:val="21"/>
                <w:szCs w:val="21"/>
                <w:color w:val="auto"/>
                <w:vertAlign w:val="superscript"/>
              </w:rPr>
              <w:t>(19)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196,678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119,668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77,010</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Bachow Family Trust dated</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350,025</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106,124</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243,901</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11/16/2012</w:t>
            </w: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-15875</wp:posOffset>
            </wp:positionV>
            <wp:extent cx="6180455" cy="402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80455" cy="4025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-5116830</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-5116830</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-5116830</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-5116830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-5116830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-5116830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-5116830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-5116830</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-5116830</wp:posOffset>
            </wp:positionV>
            <wp:extent cx="857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-5116830</wp:posOffset>
            </wp:positionV>
            <wp:extent cx="857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-5116830</wp:posOffset>
            </wp:positionV>
            <wp:extent cx="857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p>
      <w:pPr>
        <w:spacing w:after="0" w:line="30" w:lineRule="exact"/>
        <w:rPr>
          <w:sz w:val="20"/>
          <w:szCs w:val="20"/>
          <w:color w:val="auto"/>
        </w:rPr>
      </w:pPr>
    </w:p>
    <w:p>
      <w:pPr>
        <w:ind w:left="640" w:hanging="143"/>
        <w:spacing w:after="0" w:line="221" w:lineRule="auto"/>
        <w:rPr>
          <w:sz w:val="20"/>
          <w:szCs w:val="20"/>
          <w:color w:val="auto"/>
        </w:rPr>
      </w:pPr>
      <w:r>
        <w:rPr>
          <w:rFonts w:ascii="Times New Roman" w:cs="Times New Roman" w:eastAsia="Times New Roman" w:hAnsi="Times New Roman"/>
          <w:sz w:val="14"/>
          <w:szCs w:val="14"/>
          <w:b w:val="1"/>
          <w:bCs w:val="1"/>
          <w:color w:val="auto"/>
        </w:rPr>
        <w:t>Stockholders selling fewer than 100,000 shares of Class B common stock, each of whom hold less than 0.3% of our Class B common stock:</w:t>
      </w:r>
    </w:p>
    <w:p>
      <w:pPr>
        <w:ind w:left="500"/>
        <w:spacing w:after="0" w:line="237" w:lineRule="auto"/>
        <w:rPr>
          <w:sz w:val="20"/>
          <w:szCs w:val="20"/>
          <w:color w:val="auto"/>
        </w:rPr>
      </w:pPr>
      <w:r>
        <w:rPr>
          <w:rFonts w:ascii="Times New Roman" w:cs="Times New Roman" w:eastAsia="Times New Roman" w:hAnsi="Times New Roman"/>
          <w:sz w:val="14"/>
          <w:szCs w:val="14"/>
          <w:color w:val="auto"/>
        </w:rPr>
        <w:t>U.S. colleagues (198</w:t>
      </w:r>
    </w:p>
    <w:p>
      <w:pPr>
        <w:ind w:left="640"/>
        <w:spacing w:after="0"/>
        <w:rPr>
          <w:sz w:val="20"/>
          <w:szCs w:val="20"/>
          <w:color w:val="auto"/>
        </w:rPr>
      </w:pPr>
      <w:r>
        <w:rPr>
          <w:rFonts w:ascii="Times New Roman" w:cs="Times New Roman" w:eastAsia="Times New Roman" w:hAnsi="Times New Roman"/>
          <w:sz w:val="14"/>
          <w:szCs w:val="14"/>
          <w:color w:val="auto"/>
        </w:rPr>
        <w:t xml:space="preserve">stockholders) </w:t>
      </w:r>
      <w:r>
        <w:rPr>
          <w:rFonts w:ascii="Times New Roman" w:cs="Times New Roman" w:eastAsia="Times New Roman" w:hAnsi="Times New Roman"/>
          <w:sz w:val="21"/>
          <w:szCs w:val="21"/>
          <w:color w:val="auto"/>
          <w:vertAlign w:val="superscript"/>
        </w:rPr>
        <w:t>(11)(15)(20)</w:t>
      </w:r>
    </w:p>
    <w:p>
      <w:pPr>
        <w:jc w:val="right"/>
        <w:ind w:right="980"/>
        <w:spacing w:after="0" w:line="203" w:lineRule="auto"/>
        <w:rPr>
          <w:sz w:val="20"/>
          <w:szCs w:val="20"/>
          <w:color w:val="auto"/>
        </w:rPr>
      </w:pPr>
      <w:r>
        <w:rPr>
          <w:rFonts w:ascii="Times New Roman" w:cs="Times New Roman" w:eastAsia="Times New Roman" w:hAnsi="Times New Roman"/>
          <w:sz w:val="14"/>
          <w:szCs w:val="14"/>
          <w:color w:val="auto"/>
        </w:rPr>
        <w:t>Non-U.S. colleagues (194</w:t>
      </w:r>
    </w:p>
    <w:p>
      <w:pPr>
        <w:jc w:val="right"/>
        <w:ind w:right="1020"/>
        <w:spacing w:after="0"/>
        <w:rPr>
          <w:sz w:val="20"/>
          <w:szCs w:val="20"/>
          <w:color w:val="auto"/>
        </w:rPr>
      </w:pPr>
      <w:r>
        <w:rPr>
          <w:rFonts w:ascii="Times New Roman" w:cs="Times New Roman" w:eastAsia="Times New Roman" w:hAnsi="Times New Roman"/>
          <w:sz w:val="14"/>
          <w:szCs w:val="14"/>
          <w:color w:val="auto"/>
        </w:rPr>
        <w:t>stockholders)</w:t>
      </w:r>
      <w:r>
        <w:rPr>
          <w:rFonts w:ascii="Times New Roman" w:cs="Times New Roman" w:eastAsia="Times New Roman" w:hAnsi="Times New Roman"/>
          <w:sz w:val="21"/>
          <w:szCs w:val="21"/>
          <w:color w:val="auto"/>
          <w:vertAlign w:val="superscript"/>
        </w:rPr>
        <w:t>(11)(15)(21)</w:t>
      </w:r>
    </w:p>
    <w:p>
      <w:pPr>
        <w:spacing w:after="0" w:line="31" w:lineRule="exact"/>
        <w:rPr>
          <w:sz w:val="20"/>
          <w:szCs w:val="20"/>
          <w:color w:val="auto"/>
        </w:rPr>
      </w:pPr>
    </w:p>
    <w:p>
      <w:pPr>
        <w:ind w:left="640" w:right="140" w:hanging="143"/>
        <w:spacing w:after="0" w:line="225" w:lineRule="auto"/>
        <w:rPr>
          <w:sz w:val="20"/>
          <w:szCs w:val="20"/>
          <w:color w:val="auto"/>
        </w:rPr>
      </w:pPr>
      <w:r>
        <w:rPr>
          <w:rFonts w:ascii="Times New Roman" w:cs="Times New Roman" w:eastAsia="Times New Roman" w:hAnsi="Times New Roman"/>
          <w:sz w:val="14"/>
          <w:szCs w:val="14"/>
          <w:color w:val="auto"/>
        </w:rPr>
        <w:t xml:space="preserve">U.S. non-colleague selling stockholders (53 stockholders) </w:t>
      </w:r>
      <w:r>
        <w:rPr>
          <w:rFonts w:ascii="Times New Roman" w:cs="Times New Roman" w:eastAsia="Times New Roman" w:hAnsi="Times New Roman"/>
          <w:sz w:val="21"/>
          <w:szCs w:val="21"/>
          <w:color w:val="auto"/>
          <w:vertAlign w:val="superscript"/>
        </w:rPr>
        <w:t>(11)(22)</w:t>
      </w:r>
    </w:p>
    <w:p>
      <w:pPr>
        <w:spacing w:after="0" w:line="1" w:lineRule="exact"/>
        <w:rPr>
          <w:sz w:val="20"/>
          <w:szCs w:val="20"/>
          <w:color w:val="auto"/>
        </w:rPr>
      </w:pPr>
    </w:p>
    <w:p>
      <w:pPr>
        <w:ind w:left="640" w:right="540" w:hanging="143"/>
        <w:spacing w:after="0" w:line="233" w:lineRule="auto"/>
        <w:rPr>
          <w:sz w:val="20"/>
          <w:szCs w:val="20"/>
          <w:color w:val="auto"/>
        </w:rPr>
      </w:pPr>
      <w:r>
        <w:rPr>
          <w:rFonts w:ascii="Times New Roman" w:cs="Times New Roman" w:eastAsia="Times New Roman" w:hAnsi="Times New Roman"/>
          <w:sz w:val="14"/>
          <w:szCs w:val="14"/>
          <w:color w:val="auto"/>
        </w:rPr>
        <w:t>Non-U.S. non-colleague selling stockholders (22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85,024</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11,984,202</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2,382,874</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85,024</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9,601,328</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7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30,500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3,127,019</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1,130,386</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30,500</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1,996,633</w:t>
            </w: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37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3,986,257</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737,270</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3,248,987</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364"/>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1,652,651</w:t>
            </w:r>
          </w:p>
        </w:tc>
        <w:tc>
          <w:tcPr>
            <w:tcW w:w="6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207,086</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1,445,565</w:t>
            </w: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-721360</wp:posOffset>
            </wp:positionV>
            <wp:extent cx="6180455" cy="2400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180455" cy="24003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-241300</wp:posOffset>
            </wp:positionV>
            <wp:extent cx="6180455" cy="2317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18045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20"/>
            <w:col w:w="6760"/>
          </w:cols>
          <w:pgMar w:left="320" w:top="114" w:right="1359" w:bottom="1440" w:gutter="0" w:footer="0" w:header="0"/>
          <w:type w:val="continuous"/>
        </w:sectPr>
      </w:pPr>
    </w:p>
    <w:p>
      <w:pPr>
        <w:spacing w:after="0" w:line="1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12344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hanging="358"/>
        <w:spacing w:after="0"/>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class.</w:t>
      </w:r>
    </w:p>
    <w:p>
      <w:pPr>
        <w:spacing w:after="0" w:line="77" w:lineRule="exact"/>
        <w:rPr>
          <w:sz w:val="20"/>
          <w:szCs w:val="20"/>
          <w:color w:val="auto"/>
        </w:rPr>
      </w:pPr>
    </w:p>
    <w:p>
      <w:pPr>
        <w:ind w:left="1620" w:right="819" w:hanging="358"/>
        <w:spacing w:after="0" w:line="254"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and assumes the effectiveness of our Charter Amendments. Upon the completion of this offering, the holders of our Class A common stock will be entitled to 29 votes per share, and holders of our Class B common stock will be entitled to one vote per share. For more information about the voting rights of our Class A and Class B common stock, see the section titled “Description of Capital Stock.” We have deemed shares of our common stock to be outstanding and beneficially owned by a person for the purpose of computing the percentage ownership of that person if that person has the right to acquire voting or investment power in respect of such common stock within 60 days of September 4, 2020.</w:t>
      </w:r>
    </w:p>
    <w:p>
      <w:pPr>
        <w:spacing w:after="0" w:line="39" w:lineRule="exact"/>
        <w:rPr>
          <w:rFonts w:ascii="Times New Roman" w:cs="Times New Roman" w:eastAsia="Times New Roman" w:hAnsi="Times New Roman"/>
          <w:sz w:val="18"/>
          <w:szCs w:val="18"/>
          <w:color w:val="auto"/>
        </w:rPr>
      </w:pPr>
    </w:p>
    <w:p>
      <w:pPr>
        <w:ind w:left="1620" w:right="819" w:hanging="358"/>
        <w:spacing w:after="0" w:line="257"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2,103,211 shares of Class B common stock distributable under our DCP within 60 days of September 4, 2020 assuming Keith A. Bentley’s termination of employment on such date, (ii) 680 shares of restricted Class B common stock that will vest upon the consummation of this offering and</w:t>
      </w:r>
    </w:p>
    <w:p>
      <w:pPr>
        <w:spacing w:after="0" w:line="1" w:lineRule="exact"/>
        <w:rPr>
          <w:rFonts w:ascii="Times New Roman" w:cs="Times New Roman" w:eastAsia="Times New Roman" w:hAnsi="Times New Roman"/>
          <w:sz w:val="18"/>
          <w:szCs w:val="18"/>
          <w:color w:val="auto"/>
        </w:rPr>
      </w:pPr>
    </w:p>
    <w:p>
      <w:pPr>
        <w:ind w:left="1620" w:right="859" w:firstLine="2"/>
        <w:spacing w:after="0" w:line="255" w:lineRule="auto"/>
        <w:tabs>
          <w:tab w:leader="none" w:pos="195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92,654 shares of Class B common stock held in our 401(k) plan. Excludes 38,805,572 shares of Class B common stock held by various trusts of which Keith A. Bentley’s spouse, family members or third-party trustees serve as trustee and as to which Keith A. Bentley disclaims beneficial ownership.</w:t>
      </w:r>
    </w:p>
    <w:p>
      <w:pPr>
        <w:spacing w:after="0" w:line="37" w:lineRule="exact"/>
        <w:rPr>
          <w:rFonts w:ascii="Times New Roman" w:cs="Times New Roman" w:eastAsia="Times New Roman" w:hAnsi="Times New Roman"/>
          <w:sz w:val="18"/>
          <w:szCs w:val="18"/>
          <w:color w:val="auto"/>
        </w:rPr>
      </w:pPr>
    </w:p>
    <w:p>
      <w:pPr>
        <w:ind w:left="1620" w:right="679" w:hanging="358"/>
        <w:spacing w:after="0" w:line="258"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433,879 shares of Class B common stock that are issuable to Barry J. Bentley pursuant to our DCP in connection with his termination of employment on December 31, 2019 and (ii) 92,654 shares of Class B common stock held in our 401(k) plan. Excludes 33,707,989 shares of Class B common stock held by various trusts of which Barry J. Bentley’s spouse, family members or third-party trustees serve as trustee and as to which Barry J. Bentley disclaims beneficial ownership.</w:t>
      </w:r>
    </w:p>
    <w:p>
      <w:pPr>
        <w:spacing w:after="0" w:line="34" w:lineRule="exact"/>
        <w:rPr>
          <w:rFonts w:ascii="Times New Roman" w:cs="Times New Roman" w:eastAsia="Times New Roman" w:hAnsi="Times New Roman"/>
          <w:sz w:val="18"/>
          <w:szCs w:val="18"/>
          <w:color w:val="auto"/>
        </w:rPr>
      </w:pPr>
    </w:p>
    <w:p>
      <w:pPr>
        <w:ind w:left="1620" w:right="979" w:hanging="358"/>
        <w:spacing w:after="0" w:line="261"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3,472,950 shares of Class B common stock pledged as security for a credit facility from PNC Bank, N.A., (ii) 971,027 shares of Class B common stock distributable under our DCP within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September 4, 2020 assuming Gregory S. Bentley’s termination of employment on such date,</w:t>
      </w:r>
    </w:p>
    <w:p>
      <w:pPr>
        <w:spacing w:after="0" w:line="9" w:lineRule="exact"/>
        <w:rPr>
          <w:rFonts w:ascii="Times New Roman" w:cs="Times New Roman" w:eastAsia="Times New Roman" w:hAnsi="Times New Roman"/>
          <w:sz w:val="18"/>
          <w:szCs w:val="18"/>
          <w:color w:val="auto"/>
        </w:rPr>
      </w:pPr>
    </w:p>
    <w:p>
      <w:pPr>
        <w:ind w:left="1620" w:right="739" w:firstLine="2"/>
        <w:spacing w:after="0" w:line="253" w:lineRule="auto"/>
        <w:tabs>
          <w:tab w:leader="none" w:pos="195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 shares of restricted Class B common stock that will vest upon the consummation of this offering and (iv) 92,654 shares of Class B common stock held in our 401(k) plan. Excludes 29,981,604 shares of Class B common stock held by various trusts of which Gregory S. Bentley’s spouse, family members or third-party trustees serve as trustee and as to which Gregory S. Bentley disclaims beneficial ownership.</w:t>
      </w:r>
    </w:p>
    <w:p>
      <w:pPr>
        <w:spacing w:after="0" w:line="256" w:lineRule="exact"/>
        <w:rPr>
          <w:rFonts w:ascii="Times New Roman" w:cs="Times New Roman" w:eastAsia="Times New Roman" w:hAnsi="Times New Roman"/>
          <w:sz w:val="18"/>
          <w:szCs w:val="18"/>
          <w:color w:val="auto"/>
        </w:rPr>
      </w:pPr>
    </w:p>
    <w:p>
      <w:pPr>
        <w:ind w:left="1620" w:right="779" w:hanging="358"/>
        <w:spacing w:after="0" w:line="258"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680 shares of restricted Class B common stock that will vest upon the consummation of this offering and (ii) 92,654 shares of Class B common stock held in our 401(k) plan. Excludes 2,597,400 shares of Class B common stock held by a trust of which Raymond B. Bentley’s spouse, family members or third-party trustees serve as trustee and as to which Raymond B. Bentley disclaims beneficial ownership.</w:t>
      </w:r>
    </w:p>
    <w:p>
      <w:pPr>
        <w:spacing w:after="0" w:line="48" w:lineRule="exact"/>
        <w:rPr>
          <w:rFonts w:ascii="Times New Roman" w:cs="Times New Roman" w:eastAsia="Times New Roman" w:hAnsi="Times New Roman"/>
          <w:sz w:val="18"/>
          <w:szCs w:val="18"/>
          <w:color w:val="auto"/>
        </w:rPr>
      </w:pPr>
    </w:p>
    <w:p>
      <w:pPr>
        <w:ind w:left="1620" w:right="1159" w:hanging="358"/>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42,500 shares of Class B common stock issuable pursuant to options that are exercisable within 60 days of September 4, 2020.</w:t>
      </w:r>
    </w:p>
    <w:p>
      <w:pPr>
        <w:spacing w:after="0" w:line="13" w:lineRule="exact"/>
        <w:rPr>
          <w:rFonts w:ascii="Times New Roman" w:cs="Times New Roman" w:eastAsia="Times New Roman" w:hAnsi="Times New Roman"/>
          <w:sz w:val="18"/>
          <w:szCs w:val="18"/>
          <w:color w:val="auto"/>
        </w:rPr>
      </w:pPr>
    </w:p>
    <w:p>
      <w:pPr>
        <w:ind w:left="1620" w:right="939" w:hanging="358"/>
        <w:spacing w:after="0" w:line="257"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509,926 shares of Class B common stock distributable under our DCP within 60 days of September 4, 2020 assuming David J. Hollister’s termination of employment on such date, (ii) 680 shares of restricted Class B common stock that will vest upon the consummation of this offering and</w:t>
      </w:r>
    </w:p>
    <w:p>
      <w:pPr>
        <w:spacing w:after="0" w:line="1" w:lineRule="exact"/>
        <w:rPr>
          <w:rFonts w:ascii="Times New Roman" w:cs="Times New Roman" w:eastAsia="Times New Roman" w:hAnsi="Times New Roman"/>
          <w:sz w:val="18"/>
          <w:szCs w:val="18"/>
          <w:color w:val="auto"/>
        </w:rPr>
      </w:pPr>
    </w:p>
    <w:p>
      <w:pPr>
        <w:ind w:left="1960" w:hanging="338"/>
        <w:spacing w:after="0"/>
        <w:tabs>
          <w:tab w:leader="none" w:pos="19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20,447 shares of Class B common stock held in our 401(k) plan.</w:t>
      </w:r>
    </w:p>
    <w:p>
      <w:pPr>
        <w:spacing w:after="0" w:line="58" w:lineRule="exact"/>
        <w:rPr>
          <w:rFonts w:ascii="Times New Roman" w:cs="Times New Roman" w:eastAsia="Times New Roman" w:hAnsi="Times New Roman"/>
          <w:sz w:val="18"/>
          <w:szCs w:val="18"/>
          <w:color w:val="auto"/>
        </w:rPr>
      </w:pPr>
    </w:p>
    <w:p>
      <w:pPr>
        <w:ind w:left="1620" w:right="679" w:hanging="358"/>
        <w:spacing w:after="0" w:line="254"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aggregate total of 3,660,550 shares of Class B common stock pledged as security for credit facilities from PNC Bank, N.A. and M&amp;T Bank, (ii) 285,707 shares of Class B common stock issuable pursuant to options that are exercisable within 60 days of September 4, 2020, (iii) 4,018,043 shares of Class B common stock distributable under our DCP within 60 days of September 4, 2020 assuming such persons’ termination of employment on such date, (iv) 4,294 restricted shares of Class B common stock which will vest upon the consummation of this offering and (v) 423,699 shares of Class B common stock held in our 401(k) plan. Excludes all shares of Class B common stock held in trust as to which Barry J. Bentley, Gregory S. Bentley, Keith A. Bentley and Raymond B. Bentley disclaim beneficial ownership as set forth above.</w:t>
      </w:r>
    </w:p>
    <w:p>
      <w:pPr>
        <w:spacing w:after="0" w:line="39" w:lineRule="exact"/>
        <w:rPr>
          <w:rFonts w:ascii="Times New Roman" w:cs="Times New Roman" w:eastAsia="Times New Roman" w:hAnsi="Times New Roman"/>
          <w:sz w:val="18"/>
          <w:szCs w:val="18"/>
          <w:color w:val="auto"/>
        </w:rPr>
      </w:pPr>
    </w:p>
    <w:p>
      <w:pPr>
        <w:ind w:left="1620" w:right="699" w:hanging="358"/>
        <w:spacing w:after="0" w:line="266"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completion of this offering, Barry J. Bentley, Gregory S. Bentley, Keith A. Bentley, Raymond B. Bentley and Richard P. Bentley and certain of their family members will be parties to an amended and restated stockholders agreement, to which we will not be a party. See the section titled “Certain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19"/>
        <w:spacing w:after="0" w:line="282" w:lineRule="auto"/>
        <w:rPr>
          <w:sz w:val="20"/>
          <w:szCs w:val="20"/>
          <w:color w:val="auto"/>
        </w:rPr>
      </w:pPr>
      <w:r>
        <w:rPr>
          <w:rFonts w:ascii="Times New Roman" w:cs="Times New Roman" w:eastAsia="Times New Roman" w:hAnsi="Times New Roman"/>
          <w:sz w:val="18"/>
          <w:szCs w:val="18"/>
          <w:color w:val="auto"/>
        </w:rPr>
        <w:t>Relationships and Related Party Transactions — Stockholders Agreement” for information regarding the voting and transfer arrangements among the parties to such agreement.</w:t>
      </w:r>
    </w:p>
    <w:p>
      <w:pPr>
        <w:spacing w:after="0" w:line="13" w:lineRule="exact"/>
        <w:rPr>
          <w:sz w:val="20"/>
          <w:szCs w:val="20"/>
          <w:color w:val="auto"/>
        </w:rPr>
      </w:pPr>
    </w:p>
    <w:p>
      <w:pPr>
        <w:ind w:left="1620" w:right="699" w:hanging="358"/>
        <w:spacing w:after="0" w:line="282"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Class B common stock are held of record by Siemens International Holding B.V., the address of which is c/o Siemens AG, Werner von Siemens Str. 50 91052 Erlangen, Germany.</w:t>
      </w:r>
    </w:p>
    <w:p>
      <w:pPr>
        <w:spacing w:after="0" w:line="13" w:lineRule="exact"/>
        <w:rPr>
          <w:rFonts w:ascii="Times New Roman" w:cs="Times New Roman" w:eastAsia="Times New Roman" w:hAnsi="Times New Roman"/>
          <w:sz w:val="18"/>
          <w:szCs w:val="18"/>
          <w:color w:val="auto"/>
        </w:rPr>
      </w:pPr>
    </w:p>
    <w:p>
      <w:pPr>
        <w:ind w:left="1620" w:right="819" w:hanging="358"/>
        <w:spacing w:after="0" w:line="275"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do not include additional equity awards for Class B common stock that are not exercisable, or for which any service condition would not be satisfied, within 60 days of September 4, 2020.</w:t>
      </w:r>
    </w:p>
    <w:p>
      <w:pPr>
        <w:spacing w:after="0" w:line="254" w:lineRule="exact"/>
        <w:rPr>
          <w:rFonts w:ascii="Times New Roman" w:cs="Times New Roman" w:eastAsia="Times New Roman" w:hAnsi="Times New Roman"/>
          <w:sz w:val="18"/>
          <w:szCs w:val="18"/>
          <w:color w:val="auto"/>
        </w:rPr>
      </w:pPr>
    </w:p>
    <w:p>
      <w:pPr>
        <w:ind w:left="1620" w:right="1139" w:hanging="358"/>
        <w:spacing w:after="0" w:line="261"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7,416 shares of Class B common stock distributable under our DCP within 60 days of September 4, 2020 assuming Jean-Baptiste Monnier’s termination of employment on such date, (ii) 1,091 shares of restricted Class B common stock that will vest upon the consummation of this offering and (iii) 36,915 shares of Class B common stock held in our 401(k) plan.</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2,112 shares of Class B common stock held in our 401(k) plan.</w:t>
      </w:r>
    </w:p>
    <w:p>
      <w:pPr>
        <w:spacing w:after="0" w:line="76" w:lineRule="exact"/>
        <w:rPr>
          <w:rFonts w:ascii="Times New Roman" w:cs="Times New Roman" w:eastAsia="Times New Roman" w:hAnsi="Times New Roman"/>
          <w:sz w:val="18"/>
          <w:szCs w:val="18"/>
          <w:color w:val="auto"/>
        </w:rPr>
      </w:pPr>
    </w:p>
    <w:p>
      <w:pPr>
        <w:ind w:left="1620" w:right="1179" w:hanging="358"/>
        <w:spacing w:after="0" w:line="282"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187,153 shares of Class B common stock distributable under our DCP within 60 days of September 4, 2020.</w:t>
      </w:r>
    </w:p>
    <w:p>
      <w:pPr>
        <w:spacing w:after="0" w:line="26" w:lineRule="exact"/>
        <w:rPr>
          <w:rFonts w:ascii="Times New Roman" w:cs="Times New Roman" w:eastAsia="Times New Roman" w:hAnsi="Times New Roman"/>
          <w:sz w:val="18"/>
          <w:szCs w:val="18"/>
          <w:color w:val="auto"/>
        </w:rPr>
      </w:pPr>
    </w:p>
    <w:p>
      <w:pPr>
        <w:ind w:left="1620" w:right="679" w:hanging="358"/>
        <w:spacing w:after="0" w:line="282"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of our Class A common stock are included in the Bentley Control Group in respect of their shares of Class A common stock.</w:t>
      </w:r>
    </w:p>
    <w:p>
      <w:pPr>
        <w:spacing w:after="0" w:line="13" w:lineRule="exact"/>
        <w:rPr>
          <w:rFonts w:ascii="Times New Roman" w:cs="Times New Roman" w:eastAsia="Times New Roman" w:hAnsi="Times New Roman"/>
          <w:sz w:val="18"/>
          <w:szCs w:val="18"/>
          <w:color w:val="auto"/>
        </w:rPr>
      </w:pPr>
    </w:p>
    <w:p>
      <w:pPr>
        <w:ind w:left="1620" w:right="799" w:hanging="358"/>
        <w:spacing w:after="0" w:line="263"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5,000 shares of Class B common stock issuable pursuant to options that are exercisable within 60 days of September 4, 2020, (ii) 681 shares of restricted Class B common stock that will vest upon the consummation of this offering and (iii) 68,053 shares of Class B common stock held in our 401(k) plan.</w:t>
      </w:r>
    </w:p>
    <w:p>
      <w:pPr>
        <w:spacing w:after="0" w:line="25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31,150 shares of Class B common stock held in our 401(k) plan.</w:t>
      </w:r>
    </w:p>
    <w:p>
      <w:pPr>
        <w:spacing w:after="0" w:line="90" w:lineRule="exact"/>
        <w:rPr>
          <w:rFonts w:ascii="Times New Roman" w:cs="Times New Roman" w:eastAsia="Times New Roman" w:hAnsi="Times New Roman"/>
          <w:sz w:val="18"/>
          <w:szCs w:val="18"/>
          <w:color w:val="auto"/>
        </w:rPr>
      </w:pPr>
    </w:p>
    <w:p>
      <w:pPr>
        <w:ind w:left="1620" w:right="839" w:hanging="358"/>
        <w:spacing w:after="0" w:line="261"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130,108 shares of Class B common stock issuable pursuant to options that are exercisable within 60 days of September 4, 2020, (ii) 1,539 shares of restricted Class B common stock that will vest upon the consummation of this offering and (iii) 11,153 shares of Class B common stock held in our 401(k) plan.</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55,725 shares of Class B common stock held in our 401(k) plan.</w:t>
      </w:r>
    </w:p>
    <w:p>
      <w:pPr>
        <w:spacing w:after="0" w:line="76"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2,813,569 shares of Class B common stock issuable pursuant to options that are exercisable within 60 days of September 4, 2020, (ii) 110,437 shares of restricted Class B common stock that will vest upon the consummation of this offering, (iii) 2,448,688 shares of Class B common stock held in our 401(k) plan and (iv) 9,443 shares of Class B common stock distributable under our DCP within 60 days of September 4, 2020 assuming such colleagues’ termination of employment on such date.</w:t>
      </w:r>
    </w:p>
    <w:p>
      <w:pPr>
        <w:spacing w:after="0" w:line="48" w:lineRule="exact"/>
        <w:rPr>
          <w:rFonts w:ascii="Times New Roman" w:cs="Times New Roman" w:eastAsia="Times New Roman" w:hAnsi="Times New Roman"/>
          <w:sz w:val="18"/>
          <w:szCs w:val="18"/>
          <w:color w:val="auto"/>
        </w:rPr>
      </w:pPr>
    </w:p>
    <w:p>
      <w:pPr>
        <w:ind w:left="1620" w:right="699" w:hanging="358"/>
        <w:spacing w:after="0" w:line="256"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1,302,279 shares of Class B common stock issuable pursuant to options that are exercisable within 60 days of September 4, 2020, (ii) 71,826 shares of restricted Class B common stock that will vest upon the consummation of this offering, (iii) 1,732 shares of Class B common stock held in our 401(k) plan on account of prior employment in the United States and (iv) 1,928 shares of Class B common stock distributable under our DCP within 60 days of September 4, 2020 assuming such colleagues’ termination of employment on such date.</w:t>
      </w:r>
    </w:p>
    <w:p>
      <w:pPr>
        <w:spacing w:after="0" w:line="38" w:lineRule="exact"/>
        <w:rPr>
          <w:rFonts w:ascii="Times New Roman" w:cs="Times New Roman" w:eastAsia="Times New Roman" w:hAnsi="Times New Roman"/>
          <w:sz w:val="18"/>
          <w:szCs w:val="18"/>
          <w:color w:val="auto"/>
        </w:rPr>
      </w:pPr>
    </w:p>
    <w:p>
      <w:pPr>
        <w:ind w:left="1620" w:right="919" w:hanging="358"/>
        <w:spacing w:after="0" w:line="261"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Company colleagues who are now employed by Digital Construction Works, Inc. Includes (i) 15,250 shares of Class B common stock issuable pursuant to options that are exercisable within 60 days of September 4, 2020 and (ii) 349,741 shares of Class B common stock held in our 401(k) plan on account of prior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of the rights of our capital stock and related provisions of our amended and restated certificate of incorporation and amended and restated by-laws that will be in effect upon the completion of this offering. For more detailed information, we refer you to the forms of our amended and restated certificate of incorporation and amended and restated by-laws that are filed as exhibits to the registration statement of which this prospectus is a part and to applicable provisions of Delaware law. Note 11 to our audited consolidated financial statements included elsewhere in this prospectus includes a description of the terms of our Class B common stock pursuant to our amended and restated certificate of incorporation then in effect for the periods reported and does not reflect the Charter Amendments.</w:t>
      </w:r>
    </w:p>
    <w:p>
      <w:pPr>
        <w:spacing w:after="0" w:line="34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under our amended and restated certificate of incorporation, we will provide for two classes of common stock: Class A common stock, which will have 29 votes per share, and Class B common stock, which will have one vote per share. The beneficial owners of our Class A common stock are primarily the Bentleys. Any holder of Class A common stock may convert all or a portion of such holder’s shares at any time into shares of Class B common stock on a share-for-share basis. In addition, Class A common stock will convert automatically into Class B common stock upon the occurrence of specified events, including transfers, except for certain permitted transfers described below. Except as specified below, the holders of Class A and Class B common stock will vote together as a single class. Except as expressly provided in our amended and restated certificate of incorporation, including with respect to voting rights and conversion rights, the rights of the two classes of common stock are identical. In addition, our amended and restated certificate of incorporation authorizes shares of undesignated preferred stock, the rights, preferences and privileges of which may be designated from time to time by our board of directors.</w:t>
      </w:r>
    </w:p>
    <w:p>
      <w:pPr>
        <w:spacing w:after="0" w:line="33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2,000,000,000 shares, each with a par value of $0.01 per share, of which:</w:t>
      </w:r>
    </w:p>
    <w:p>
      <w:pPr>
        <w:spacing w:after="0" w:line="54" w:lineRule="exact"/>
        <w:rPr>
          <w:sz w:val="20"/>
          <w:szCs w:val="20"/>
          <w:color w:val="auto"/>
        </w:rPr>
      </w:pPr>
    </w:p>
    <w:p>
      <w:pPr>
        <w:ind w:left="1800" w:hanging="178"/>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A common stock;</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1,800,000,000 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undesignated preferred stock.</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As of June 30, 2020, we had outstanding 11,601,757 shares of Class A common stock held of record by 17 stockholders, 247,607,598 shares of Class B common stock held of record by 807 stockholders, and no shares of preferred stock, 15,999,363 shares of Class B common stock issuable upon exercise of stock options outstanding as of June 30, 2020 at a weighted average exercise price of $6.34 per share of Class B common stock (which does not give effect to the exercise price adjustment in connection with the Special Dividend), 45,151 shares of Class B common stock issuable upon the settlement of restricted stock units outstanding as of June 30, 2020, and 27,941,520 shares of Class B common stock held by colleagues and directors as phantom shares under our DCPs as of June 30, 2020. In addition, in July 2020 we granted 994,912 total shares of restricted Class B common stock and restricted stock units that will vest automatically upon the consummation of this offering, with 32,238 of such restricted stock units that will be settled in cash, and there are 1,311,447 shares of unvested restricted Class B common stock and restricted stock units that will not vest upon consummation of this offering.</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The holders of our Class A common stock and Class B common stock vote together as a single class, unless otherwise required by our amended and restated certificate of incorporation or law. Delaware law could require either holders of our Class A common stock or our Class B common stock to vote separately as a single class in the following circumstances:</w:t>
      </w:r>
    </w:p>
    <w:p>
      <w:pPr>
        <w:spacing w:after="0" w:line="266" w:lineRule="exact"/>
        <w:rPr>
          <w:sz w:val="20"/>
          <w:szCs w:val="20"/>
          <w:color w:val="auto"/>
        </w:rPr>
      </w:pPr>
    </w:p>
    <w:p>
      <w:pPr>
        <w:jc w:val="both"/>
        <w:ind w:left="1800" w:right="1099" w:hanging="178"/>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879" w:hanging="178"/>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1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In addition, the affirmative vote of the holders of the Class A common stock is required to amend the provisions of our amended and restated certificate of incorporation that relate to our dual class structure.</w:t>
      </w:r>
    </w:p>
    <w:p>
      <w:pPr>
        <w:spacing w:after="0" w:line="8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are not able to engage in certain mergers or other transactions in which the holders of Class A common stock and Class B common stock are not given the same consideration, without the affirmative vote of the holders of a majority of the outstanding shares of Class A common stock, voting separately as a class, and Class B common stock, voting separately as a class. No such separate class vote will be required, however, if the holders of each class of common stock receive equity securities in the surviving entity with voting and related rights substantially similar to the rights of the class of common stock held by such holders prior to the merger or other transaction.</w:t>
      </w:r>
    </w:p>
    <w:p>
      <w:pPr>
        <w:spacing w:after="0" w:line="320" w:lineRule="exact"/>
        <w:rPr>
          <w:sz w:val="20"/>
          <w:szCs w:val="20"/>
          <w:color w:val="auto"/>
        </w:rPr>
      </w:pPr>
    </w:p>
    <w:p>
      <w:pPr>
        <w:ind w:left="1260" w:right="8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required by Delaware law, all stockholder action, other than the election of directors, is decided by the vote of the holders of a majority in voting power of the shares of our capital stock issued and outstanding at a meeting in which a quorum, consisting of a majority in voting power of the shares of our capital stock issued and outstanding and entitled to vote at the meeting, is present. The election of directors is determined by a plurality of the votes cast in respect of the shares present at the meeting and entitled to vote on the election of directors. Stockholders do not have the ability to cumulate votes for the election of directors. Our amended and restated by-laws provide that the number of directors will be determined from time to time by resolution of our board of directors.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rights and are not subject to redemption or sinking fund provisions.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879" w:firstLine="360"/>
        <w:spacing w:after="0" w:line="275" w:lineRule="auto"/>
        <w:rPr>
          <w:sz w:val="20"/>
          <w:szCs w:val="20"/>
          <w:color w:val="auto"/>
        </w:rPr>
      </w:pPr>
      <w:r>
        <w:rPr>
          <w:rFonts w:ascii="Times New Roman" w:cs="Times New Roman" w:eastAsia="Times New Roman" w:hAnsi="Times New Roman"/>
          <w:sz w:val="18"/>
          <w:szCs w:val="18"/>
          <w:color w:val="auto"/>
        </w:rPr>
        <w:t>Our Class B common stock is not convertible into any other shares of capital stock. Each outstanding share of Class A common stock is convertible at any time at the option of the holder into one share of Class B</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color w:val="auto"/>
        </w:rPr>
        <w:t>common stock. In addition, each share of Class A common stock will convert automatically into one share of Class B common stock upon the occurrence of specified events, including any transfer, whether or not for value, except for certain transfers described in our amended and restated certificate of incorporation, including transfers to family members, trusts primarily for the benefit of the stockholder or the stockholder’s family members, certain entities or fiduciaries controlled by the stockholder or the stockholder’s family members, and transfers by operation of law pursuant to a qualified domestic order or in connection with a divorce settlement. Each share of Class A common stock will also convert automatically into one share of Class B common stock upon the death of a Class A common stockholder, except if such shares are transferred in accordance with the foregoing sentence. Further, each share of Class A common stock will convert into one share of Class B common stock if such conversion is approved by the holders of at least 90% of the then-outstanding shares of Class A common stock or if the Bentley Family ceases to beneficially own, in the aggregate, at least 20% of the issued and outstanding shares of Class B common stock (on a fully diluted basis and assuming the conversion of all issued and outstanding shares of Class A common stock). Once converted into Class B common stock, a share of Class A common stock may not be reissued.</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8"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were outstanding options to purchase 15,999,363 shares of our Class B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6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were outstanding restricted stock units representing 45,151 shares of our Class B common stock.</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June 30, 2020, there were outstanding 125,488 shares of restricted Class B common stock.</w:t>
      </w:r>
    </w:p>
    <w:p>
      <w:pPr>
        <w:spacing w:after="0" w:line="144"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On July 10, 2020 and July 21, 2020, we granted a total of 179,188 and 6,136 shares of restricted stock and restricted stock units, respectively, under our 2015 Plan, at a grant date fair value of $15.48 per share, all of which were subject to performance-based vesting as determined by the achievement of certain business growth targets which include growth in annual recurring revenues as well as actual bookings for perpetual licenses and non-recurring services. 37,237 of such shares of restricted stock and restricted stock units issued in July 2020 have vested. Annual performance targets are seasonalized and targets are set for quarterly and annual performance periods ending on December 31, 2020. These performance-based restricted shares carry dividend, but not voting rights.</w:t>
      </w:r>
    </w:p>
    <w:p>
      <w:pPr>
        <w:spacing w:after="0" w:line="12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On July 10, 2020, we granted a total of 189,188 shares of restricted stock and restricted stock units under the 2015 Plan at a grant date fair value of $15.48 per share, of which 179,188 vest ratably on each of the first four anniversaries of the grant date and 10,000 vest ratably on July 13, 2021 and the three subsequent anniversaries of that date. These restricted shares and units do not have voting rights and any dividends declared accrue on such shares and are paid only upon vesting.</w:t>
      </w:r>
    </w:p>
    <w:p>
      <w:pPr>
        <w:spacing w:after="0" w:line="116"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99"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On July 21, 2020, we granted a total of 1,020,472 shares of restricted stock and restricted stock units under the 2015 Plan at a grant date fair value of $15.48 per share, which vest ratably on each of the first four anniversaries of the grant date. These restricted shares and units do not have voting rights and any dividends declared accrue on such shares and are paid only upon vesting.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DCP Phantom Shares</w:t>
      </w:r>
    </w:p>
    <w:p>
      <w:pPr>
        <w:spacing w:after="0" w:line="162"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June 30, 2020, there were outstanding 27,941,520 phantom shares of our Class B common stock pursuant to our DCPs. See the section titled “Executive and Director Compensation — Other Benefits and Perquisites — Nonqualified Deferred Compensation.”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8" w:name="page199"/>
    <w:bookmarkEnd w:id="1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 — Registration Rights Agreement” for more information about registration rights of existing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of the DGCL summarized below may have an anti- takeover effect and may delay, deter, or prevent a tender offer or takeover attempt that you might consider in your best interest, including an attempt that might result in your receipt of a premium over the market price for your shares of Class B common stock.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intend to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However, in our case, the Bentley Family and any of their respective direct or indirect transferees receiving 15% or more of our outstanding voting stock will not be deemed to be interested stockholders regardless of the percentage of our outstanding voting stock owned by them, and accordingly will not be subject to such restrictions.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148"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67" w:lineRule="exact"/>
        <w:rPr>
          <w:sz w:val="20"/>
          <w:szCs w:val="20"/>
          <w:color w:val="auto"/>
        </w:rPr>
      </w:pPr>
    </w:p>
    <w:p>
      <w:pPr>
        <w:ind w:left="1800" w:right="739" w:hanging="178"/>
        <w:spacing w:after="0" w:line="254"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Pursuant to Section 228 of the DGCL, any action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if the Bentley Family ceases to own a majority of the voting power of our outstanding capital stock.</w:t>
      </w:r>
    </w:p>
    <w:p>
      <w:pPr>
        <w:spacing w:after="0" w:line="296"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amended and restated certificate of incorporation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by-laws further provide that special meetings of our stockholders may be called only by a majority of our total number of directors, the chair of our board of directors, our chief executive officer, or our president (in the absence of a chief executive officer). This provision could have the effect of preventing or delaying significant corporate actions that would otherwise be taken by the holders of at least a majority of the combined voting power of our Class A and Class B common stock.</w:t>
      </w:r>
    </w:p>
    <w:p>
      <w:pPr>
        <w:spacing w:after="0" w:line="295" w:lineRule="exact"/>
        <w:rPr>
          <w:rFonts w:ascii="Times New Roman" w:cs="Times New Roman" w:eastAsia="Times New Roman" w:hAnsi="Times New Roman"/>
          <w:sz w:val="18"/>
          <w:szCs w:val="18"/>
          <w:color w:val="auto"/>
        </w:rPr>
      </w:pPr>
    </w:p>
    <w:p>
      <w:pPr>
        <w:ind w:left="1800" w:right="819" w:hanging="178"/>
        <w:spacing w:after="0" w:line="267"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by-laws provide advance notice procedures for stockholders seeking to bring business before our annual meeting of stockholders or to nominate candidates for election as directors at any</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79"/>
        <w:spacing w:after="0" w:line="256" w:lineRule="auto"/>
        <w:rPr>
          <w:sz w:val="20"/>
          <w:szCs w:val="20"/>
          <w:color w:val="auto"/>
        </w:rPr>
      </w:pPr>
      <w:r>
        <w:rPr>
          <w:rFonts w:ascii="Times New Roman" w:cs="Times New Roman" w:eastAsia="Times New Roman" w:hAnsi="Times New Roman"/>
          <w:sz w:val="18"/>
          <w:szCs w:val="18"/>
          <w:color w:val="auto"/>
        </w:rPr>
        <w:t>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if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93" w:lineRule="exact"/>
        <w:rPr>
          <w:sz w:val="20"/>
          <w:szCs w:val="20"/>
          <w:color w:val="auto"/>
        </w:rPr>
      </w:pPr>
    </w:p>
    <w:p>
      <w:pPr>
        <w:ind w:left="1800" w:right="679" w:hanging="178"/>
        <w:spacing w:after="0" w:line="255"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Class A and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available for future issuance without stockholder approval, subject to any limitations imposed by the listing standards of The Nasdaq Global Select Market. These additional shares may be utilized for a variety of corporate purposes, including future public offerings to raise additional capital, corporate acquisitions and employee benefit plans. The existence of authorized but unissued shares of Class A and Class B common stock enables our board of directors to make more difficult or to discourage an attempt to obtain control of us by means of a merger, tender offer, proxy contest or otherwise.</w:t>
      </w:r>
    </w:p>
    <w:p>
      <w:pPr>
        <w:spacing w:after="0" w:line="296"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amended and restated certificate of incorporation allows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to, without prior stockholder approval, issue shares of authorized, undesignated preferred stock with dividend, liquidation, conversion, voting or other rights that could adversely affect the relative voting power or other rights of our common stock. The existence of such authorized but unissued shares of preferred stock may enable our board of directors to discourage an attempt to acquire control of our company, whether by means of a merger, tender offer, proxy contest or otherwise.</w:t>
      </w:r>
    </w:p>
    <w:p>
      <w:pPr>
        <w:spacing w:after="0" w:line="308" w:lineRule="exact"/>
        <w:rPr>
          <w:rFonts w:ascii="Times New Roman" w:cs="Times New Roman" w:eastAsia="Times New Roman" w:hAnsi="Times New Roman"/>
          <w:sz w:val="18"/>
          <w:szCs w:val="18"/>
          <w:color w:val="auto"/>
        </w:rPr>
      </w:pPr>
    </w:p>
    <w:p>
      <w:pPr>
        <w:jc w:val="both"/>
        <w:ind w:left="1800" w:right="859" w:hanging="178"/>
        <w:spacing w:after="0" w:line="267"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cumulate votes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directors unless a corporation’s certificate of incorporation provides otherwise. Our amended and restated certificate of incorporation will not provide for cumulative voting.</w:t>
      </w:r>
    </w:p>
    <w:p>
      <w:pPr>
        <w:spacing w:after="0" w:line="65" w:lineRule="exact"/>
        <w:rPr>
          <w:rFonts w:ascii="Times New Roman" w:cs="Times New Roman" w:eastAsia="Times New Roman" w:hAnsi="Times New Roman"/>
          <w:sz w:val="18"/>
          <w:szCs w:val="18"/>
          <w:color w:val="auto"/>
        </w:rPr>
      </w:pPr>
    </w:p>
    <w:p>
      <w:pPr>
        <w:ind w:left="1800" w:right="699" w:hanging="178"/>
        <w:spacing w:after="0" w:line="258"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Certificate of Incorporation or By-laws. </w:t>
      </w:r>
      <w:r>
        <w:rPr>
          <w:rFonts w:ascii="Times New Roman" w:cs="Times New Roman" w:eastAsia="Times New Roman" w:hAnsi="Times New Roman"/>
          <w:sz w:val="18"/>
          <w:szCs w:val="18"/>
          <w:color w:val="auto"/>
        </w:rPr>
        <w:t>The DGCL provides generally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pursuant to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capital stock of the corporation. In addition,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capital stock of the corporation will be required to amend or repeal or to adopt any provisions inconsistent with any of the provisions of our certificate described above.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Litigation Matters</w:t>
      </w:r>
    </w:p>
    <w:p>
      <w:pPr>
        <w:spacing w:after="0" w:line="162"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any derivative action or proceeding brought on our behalf; any action asserting a breach of fiduciary duty owed to us; any action asserting a claim arising pursuant to the DGCL, our amended and restated certificate of incorporation or our amended and restated by-laws; any action to interpret, apply, enforce or determine the validity of any provision of our amended and restated certificate of incorporation or our amended and restated by-laws; or any action asserting a claim that is governed by the internal affairs doctrine. The federal district court for the District of Delaware will be the exclusive forum for any claims brought under the Securities Act or the Exchange Act, as the Company is incorporated in the State of Delaware.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62" w:lineRule="exact"/>
        <w:rPr>
          <w:sz w:val="20"/>
          <w:szCs w:val="20"/>
          <w:color w:val="auto"/>
        </w:rPr>
      </w:pPr>
    </w:p>
    <w:p>
      <w:pPr>
        <w:ind w:left="1260" w:right="1559" w:firstLine="360"/>
        <w:spacing w:after="0" w:line="282" w:lineRule="auto"/>
        <w:rPr>
          <w:sz w:val="20"/>
          <w:szCs w:val="20"/>
          <w:color w:val="auto"/>
        </w:rPr>
      </w:pPr>
      <w:r>
        <w:rPr>
          <w:rFonts w:ascii="Times New Roman" w:cs="Times New Roman" w:eastAsia="Times New Roman" w:hAnsi="Times New Roman"/>
          <w:sz w:val="18"/>
          <w:szCs w:val="18"/>
          <w:color w:val="auto"/>
        </w:rPr>
        <w:t>See the section titled “Executive and Director Compensation — Limitations on Liability and Indemnification Matters.”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applied to have our Class B common stock approved for listing on The Nasdaq Global Select Market under the symbol “BSY.” Our Class A common stock will not be listed on any stock market or exchange.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and a liquid trading market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our common stock may not develop or be sustained after this offering. We cannot predict the effect, if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that market sales of shares of our common stock or the availability of shares of our common stock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 will have on the market price of our common stock prevailing from time to time. Future sales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substantial amounts of our Class B common stock in the public market, or the perception that such sales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could occur, could adversely affect market prices prevailing from time to time, may make it more difficult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you to sell your Class B common stock at a time and price that you deem appropriate and could impair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ability to raise capital through the sale of our equity securities. Furthermore, because only a limited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shares will be available for sale shortly after this offering due to existing contractual and legal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restrictions on resale as described below, there may be sales of substantial amounts of our Class B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the public market after the restrictions lapse. This circumstance may adversely affect the prevailing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 price and our ability to raise equity capital in the future. Although we have applied to list 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on The Nasdaq Global Select Market under the symbol “BSY,” we cannot assure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there will be an active public market for our Class B common stock.</w:t>
      </w:r>
    </w:p>
    <w:p>
      <w:pPr>
        <w:spacing w:after="0" w:line="139"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2020 and after giving effect to (A) 994,912 total shares of restricted Class B common stock and restricted stock units issued in July 2020 that will vest automatically upon the consummation of this offering, reduced by 32,238 of such restricted stock units that will be settled in cash, (B) 1,025,461 shares of Class B common stock to be sold in this offering following the exercise of stock options for such shares, and (C) 37,237 vested shares of restricted Class B common stock and restricted stock units issued in July 2020, 11,601,757 shares of our Class A common stock and 249,632,970 shares of our Class B common stock will be outstanding. Of the shares to be outstanding immediately after the closing of this offering, the 10,750,000 shares of our Class B common stock to be sold in this offering will be freely tradable without restriction under the Securities Act unless purchased by our “affiliates,” as that term is defined in Rule 144 under the Securities Act.</w:t>
      </w:r>
    </w:p>
    <w:p>
      <w:pPr>
        <w:spacing w:after="0" w:line="12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remaining 237,271,979 shares of our Class B common stock (assuming exercise of the underwriters’ option to purchase additional shares) and all of the shares of our Class A common stock will be “restricted securities” under Rule 144.</w:t>
      </w:r>
    </w:p>
    <w:p>
      <w:pPr>
        <w:spacing w:after="0" w:line="95"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These restricted securities will be available for sale in the public market as follows: (i) 5,444,277 shares of our Class B common stock will not be subject to a lock-up and will be salable subject to compliance with Rules 144 and 701 under the Securities Act and (ii) 231,827,702 shares of our Class B common stock will be subject to a lock-up and, upon release 180 days after the date of the prospectus, will be salable subject to compliance with Rules 144 and 701 under the Securities Act.</w:t>
      </w:r>
    </w:p>
    <w:p>
      <w:pPr>
        <w:spacing w:after="0" w:line="1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In addition, of the 15,999,363 shares of Class B common stock that were issuable upon exercise of stock options outstanding as of June 30, 2020, options to purchase 8,412,929 shares of our Class B common stock were exercisable as of that date, and upon exercise these shares will be eligible for sale, subject to the lock-up agreements described below and Rules 144 and 701 under the Securities Act.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our directors, executive officers, and holders of substantially all of our common stock and securities convertible into or exchangeable for our common stock (including the selling stockholders, but excluding the shares sold by them in this offering) have entered into lock up agreements with Goldman Sachs &amp; Co. LLC (“Goldman Sachs”) under which they may not, subject to specific exceptions, sell any of our common stock for 180 days after the date of this prospectus without the prior written consent of Goldman Sachs. Goldman Sachs may, at its discretion, remove or reduce the lock-up restrictions applicable to any number of shares of our common stock on terms and conditions and in ratios and numbers that it may fix in its sole discretion. Siemens is subject to a contractual lock-up pursuant to the Common Stock Agreement with us, as described in the section titled “Certain Relationships and Related Party Transactions — Our Relationship with Siemens — Common Stock Purchase Agreement.” The Company lock-up contained in the underwriting agreement to be entered into by us with the underwriters in this offering will permit us and selling stockholders to sell shares of Class B common stock in an aggregate amount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equal to up to 20% of our total Class B common stock outstanding at such time beginning on December 1, 2020. This agreement does not apply to any existing employee benefit plans. See the section titled “Underwriting.”</w:t>
      </w:r>
    </w:p>
    <w:p>
      <w:pPr>
        <w:spacing w:after="0" w:line="95"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After this offering, our colleagues, including our executive officers and our directors, may enter into written trading plans that are intended to comply with Rule 10b5-1 under the Exchange Act. Sales under these trading plans would not be permitted until the expiration of the lock-up provisions described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121"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68" w:lineRule="exact"/>
        <w:rPr>
          <w:sz w:val="20"/>
          <w:szCs w:val="20"/>
          <w:color w:val="auto"/>
        </w:rPr>
      </w:pPr>
    </w:p>
    <w:p>
      <w:pPr>
        <w:ind w:left="1800" w:right="1079" w:hanging="178"/>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Class B common stock then outstanding, which will equal approximately 2.496 million shares immediately after our initial public offering based on shares outstanding as of June 30, 2020; or</w:t>
      </w:r>
    </w:p>
    <w:p>
      <w:pPr>
        <w:spacing w:after="0" w:line="6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B common stock during the four calendar weeks preceding the filing of a notice on Form 144 with respect to such sale.</w:t>
      </w:r>
    </w:p>
    <w:p>
      <w:pPr>
        <w:spacing w:after="0" w:line="81"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color w:val="auto"/>
        </w:rPr>
        <w:t>Rule 144 does not supersede the terms of the lock-up agreements described above, which may restrict sales of shares of our Class B common stock for 180 days from the date of this prospectus. Sales under Rule 144 by our affiliates or persons selling shares on behalf of our affiliates are also subject to certain manner of sale provisions and notice requirements and to the availability of current public information about us.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Under Rule 701, common stock acquired upon the exercise of certain currently outstanding options or pursuant to other rights granted under our stock plans may be resold, to the extent not subject to lock-up agreements, (a) by persons other than affiliates, beginning 90 days after the effective date of this offering, and (b) by affiliates, subject to the manner-of-sale, volume limitations, current public information and filing requirements of Rule 144, in each case, without compliance with the holding period requirement of Rule 144.</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 with such registration. In connection with any of these the registrations, we will indemnify Siemens and we will bear all fees, costs and expenses (except underwriting commissions and discounts).</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4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of the shares of our Class B common stock issuable or reserved for issuance under our 2015 Equity Incentive Plan, the DCP, the 2020 Incentive Award Plan, the Global ESPP and our future compensation plans and programs currently under consideration. We expect to file that registration statement as soon as practicable after this offering. To the extent not subject to the Rule 144 limitations applicable to affiliates, vesting restrictions, and lock-up agreements, the shares registered on Form S-8 will be eligible for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4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02"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76" w:lineRule="exact"/>
        <w:rPr>
          <w:sz w:val="20"/>
          <w:szCs w:val="20"/>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53"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81"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2"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OR LEGAL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779"/>
        <w:spacing w:after="0" w:line="271" w:lineRule="auto"/>
        <w:rPr>
          <w:sz w:val="20"/>
          <w:szCs w:val="20"/>
          <w:color w:val="auto"/>
        </w:rPr>
      </w:pPr>
      <w:r>
        <w:rPr>
          <w:rFonts w:ascii="Times New Roman" w:cs="Times New Roman" w:eastAsia="Times New Roman" w:hAnsi="Times New Roman"/>
          <w:sz w:val="18"/>
          <w:szCs w:val="18"/>
          <w:b w:val="1"/>
          <w:bCs w:val="1"/>
          <w:color w:val="auto"/>
        </w:rPr>
        <w:t>GIFT TAX LAWS OR UNDER THE LAWS OF ANY STATE, LOCAL OR NON-U.S. TAXING JURISDICTION OR UNDER ANY APPLICABLE INCOME TAX TREATY.</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48"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9" w:lineRule="exact"/>
        <w:rPr>
          <w:sz w:val="20"/>
          <w:szCs w:val="20"/>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As described in the section titled “Dividend Policy,” the declaration and payment of dividends is within the discretion of our board of directors.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320" w:lineRule="exact"/>
        <w:rPr>
          <w:sz w:val="20"/>
          <w:szCs w:val="20"/>
          <w:color w:val="auto"/>
        </w:rPr>
      </w:pPr>
    </w:p>
    <w:p>
      <w:pPr>
        <w:jc w:val="both"/>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w:t>
      </w:r>
    </w:p>
    <w:p>
      <w:pPr>
        <w:spacing w:after="0" w:line="1" w:lineRule="exact"/>
        <w:rPr>
          <w:sz w:val="20"/>
          <w:szCs w:val="20"/>
          <w:color w:val="auto"/>
        </w:rPr>
      </w:pPr>
    </w:p>
    <w:p>
      <w:pPr>
        <w:ind w:left="1260" w:right="739"/>
        <w:spacing w:after="0" w:line="236" w:lineRule="auto"/>
        <w:rPr>
          <w:sz w:val="20"/>
          <w:szCs w:val="20"/>
          <w:color w:val="auto"/>
        </w:rPr>
      </w:pPr>
      <w:r>
        <w:rPr>
          <w:rFonts w:ascii="Times New Roman" w:cs="Times New Roman" w:eastAsia="Times New Roman" w:hAnsi="Times New Roman"/>
          <w:sz w:val="18"/>
          <w:szCs w:val="18"/>
          <w:color w:val="auto"/>
        </w:rPr>
        <w:t>Holder furnishes a valid IRS Form W-8BEN or W-8BEN-E (or other applicable documentation) certifying qualification for the lower treaty rate). If a Non- 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 -U.S.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7"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applicable to U.S. persons. A Non -U.S.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4" w:lineRule="exact"/>
        <w:rPr>
          <w:sz w:val="20"/>
          <w:szCs w:val="20"/>
          <w:color w:val="auto"/>
        </w:rPr>
      </w:pPr>
    </w:p>
    <w:p>
      <w:pPr>
        <w:ind w:left="1260" w:right="1059" w:firstLine="360"/>
        <w:spacing w:after="0" w:line="250"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4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54" w:lineRule="exact"/>
        <w:rPr>
          <w:sz w:val="20"/>
          <w:szCs w:val="20"/>
          <w:color w:val="auto"/>
        </w:rPr>
      </w:pPr>
    </w:p>
    <w:p>
      <w:pPr>
        <w:ind w:left="1800" w:right="699" w:hanging="178"/>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40"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(“USRPHC”), for U.S. federal income tax purposes.</w:t>
      </w:r>
    </w:p>
    <w:p>
      <w:pPr>
        <w:spacing w:after="0" w:line="94"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A Non- U.S. Holder described in the second bullet point above will be subject to U.S. federal income tax at a rate of 30% (or such lower rate specified by an applicable income tax treaty) on any gain,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7"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w:t>
      </w:r>
    </w:p>
    <w:p>
      <w:pPr>
        <w:spacing w:after="0" w:line="95"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Non -U.S. Holders should consult their tax advisors regarding potentially applicable income tax treaties that may provide for different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Payments of dividends on our common stock to a Non-U.S. Holder generally will not be subject to backup withholding, provided the Non -U.S. Holder certifies its non-U.S. status, such as by furnishing a valid IRS Form W-8BEN, W-8BEN-E or W-8ECI, or otherwise establishes an exemption. Notwithstanding the foregoing, backup withholding may apply if the applicable withholding agent has actual knowledge, or reason to know, that the holder is a United States person that is not an exempt recipient.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 U.S. office of a non-U.S. broker (other than certain U.S.-related brokers) generally will not be subject to backup withholding or information reporting.</w:t>
      </w:r>
    </w:p>
    <w:p>
      <w:pPr>
        <w:spacing w:after="0" w:line="293"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9"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 U.S. Holder’s U.S. federal income tax liability, provided the required information is timely furnished to the IRS.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(“FATCA”)) on certain types of payments made to</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color w:val="auto"/>
        </w:rPr>
        <w:t>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5"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20"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Prospective Non-U.S. Holders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999" w:firstLine="360"/>
        <w:spacing w:after="0" w:line="245" w:lineRule="auto"/>
        <w:rPr>
          <w:sz w:val="20"/>
          <w:szCs w:val="20"/>
          <w:color w:val="auto"/>
        </w:rPr>
      </w:pPr>
      <w:r>
        <w:rPr>
          <w:rFonts w:ascii="Times New Roman" w:cs="Times New Roman" w:eastAsia="Times New Roman" w:hAnsi="Times New Roman"/>
          <w:sz w:val="18"/>
          <w:szCs w:val="18"/>
          <w:color w:val="auto"/>
        </w:rPr>
        <w:t>We, the selling stockholders and the underwriters named below will enter into an underwriting agreement with respect to the shares being offered. Subject to certain conditions, each underwriter will severally agree to purchase the number of shares indicated in the following table. Goldman Sachs &amp; Co. LLC and BofA Securities, Inc. are the representatives of the underwriters.</w:t>
      </w:r>
    </w:p>
    <w:p>
      <w:pPr>
        <w:sectPr>
          <w:pgSz w:w="11900" w:h="16838" w:orient="portrait"/>
          <w:cols w:equalWidth="0" w:num="1">
            <w:col w:w="10139"/>
          </w:cols>
          <w:pgMar w:left="320" w:top="114" w:right="1440" w:bottom="1440" w:gutter="0" w:footer="0" w:header="0"/>
        </w:sectPr>
      </w:pP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40640</wp:posOffset>
            </wp:positionV>
            <wp:extent cx="4749165" cy="1714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70" w:lineRule="exact"/>
        <w:rPr>
          <w:sz w:val="20"/>
          <w:szCs w:val="20"/>
          <w:color w:val="auto"/>
        </w:rPr>
      </w:pPr>
    </w:p>
    <w:p>
      <w:pPr>
        <w:sectPr>
          <w:pgSz w:w="11900" w:h="16838" w:orient="portrait"/>
          <w:cols w:equalWidth="0" w:num="2">
            <w:col w:w="7820" w:space="720"/>
            <w:col w:w="1599"/>
          </w:cols>
          <w:pgMar w:left="320" w:top="114"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631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714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4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95"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The underwriters will have an option to buy up to an additional shares from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313"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have agreed to pay certain expenses in connection with this offering on behalf of the selling stockholders, including all the underwriting discounts and commissions. The following table shows the per share and total underwriting discounts and commissions to be paid to the underwriters by us. Such amounts are shown assuming both no exercise and full exercise of the underwriters’ option to purchase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additional shares from the selling stockholders.</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Full Exercise</w:t>
            </w:r>
          </w:p>
        </w:tc>
      </w:tr>
      <w:tr>
        <w:trPr>
          <w:trHeight w:val="23"/>
        </w:trPr>
        <w:tc>
          <w:tcPr>
            <w:tcW w:w="5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7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2348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97"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page of this prospectus. Any shares sold by the underwriters to securities dealers may</w:t>
      </w:r>
    </w:p>
    <w:p>
      <w:pPr>
        <w:spacing w:after="0" w:line="1" w:lineRule="exact"/>
        <w:rPr>
          <w:sz w:val="20"/>
          <w:szCs w:val="20"/>
          <w:color w:val="auto"/>
        </w:rPr>
      </w:pPr>
    </w:p>
    <w:p>
      <w:pPr>
        <w:ind w:left="1260" w:right="1019"/>
        <w:spacing w:after="0" w:line="238" w:lineRule="auto"/>
        <w:rPr>
          <w:sz w:val="20"/>
          <w:szCs w:val="20"/>
          <w:color w:val="auto"/>
        </w:rPr>
      </w:pPr>
      <w:r>
        <w:rPr>
          <w:rFonts w:ascii="Times New Roman" w:cs="Times New Roman" w:eastAsia="Times New Roman" w:hAnsi="Times New Roman"/>
          <w:sz w:val="18"/>
          <w:szCs w:val="18"/>
          <w:color w:val="auto"/>
        </w:rPr>
        <w:t>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4"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our common stock, including the selling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This agreement does not apply to any existing employee benefit plans. See the section titled “Shares Available for Future Sale” for a discussion of certain transfer restrictions.</w:t>
      </w:r>
    </w:p>
    <w:p>
      <w:pPr>
        <w:spacing w:after="0" w:line="121"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the representatives and us. Among the factors to be considered in determining the initial public offering price of the shares, in addition to prevailing market conditions, will be our historical</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9" w:name="page210"/>
    <w:bookmarkEnd w:id="2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679"/>
        <w:spacing w:after="0" w:line="250" w:lineRule="auto"/>
        <w:rPr>
          <w:sz w:val="20"/>
          <w:szCs w:val="20"/>
          <w:color w:val="auto"/>
        </w:rPr>
      </w:pPr>
      <w:r>
        <w:rPr>
          <w:rFonts w:ascii="Times New Roman" w:cs="Times New Roman" w:eastAsia="Times New Roman" w:hAnsi="Times New Roman"/>
          <w:sz w:val="18"/>
          <w:szCs w:val="18"/>
          <w:color w:val="auto"/>
        </w:rPr>
        <w:t>performance, estimates of our business potential and earnings prospects, an assessment of our management, and the consideration of the above factors in relation to market valuation of companies in related businesses. We have applied to list the common stock on the Nasdaq Global Select Market under the symbol “BSY.”</w:t>
      </w:r>
    </w:p>
    <w:p>
      <w:pPr>
        <w:spacing w:after="0" w:line="96"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w:t>
      </w:r>
    </w:p>
    <w:p>
      <w:pPr>
        <w:spacing w:after="0" w:line="12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our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75"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13"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underwriters do not expect sales to discretionary accounts to exceed five percent of the total number of shares offered. We will agree to reimburse the underwriters for certain FINRA-related expenses incurred by them in connection with the offering in an amount not to exceed $40,000 as set forth in the underwriting agreement.</w:t>
      </w:r>
    </w:p>
    <w:p>
      <w:pPr>
        <w:spacing w:after="0" w:line="112" w:lineRule="exact"/>
        <w:rPr>
          <w:sz w:val="20"/>
          <w:szCs w:val="20"/>
          <w:color w:val="auto"/>
        </w:rPr>
      </w:pPr>
    </w:p>
    <w:p>
      <w:pPr>
        <w:ind w:left="1260" w:right="839" w:firstLine="360"/>
        <w:spacing w:after="0" w:line="275"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any underwriting discounts and commissions applicable to the sale of shares by the selling stockholders, will be approximately $6.1 million.</w:t>
      </w:r>
    </w:p>
    <w:p>
      <w:pPr>
        <w:spacing w:after="0" w:line="322"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will agree to indemnify the several underwriters against certain liabilities, including liabilities under the Securities Act.</w:t>
      </w:r>
    </w:p>
    <w:p>
      <w:pPr>
        <w:spacing w:after="0" w:line="81"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have provided, and may in the future provide, a variety of these services to us and to persons and entities with relationships with us, for which they received or will receive customary fees and expenses. An affiliate of BofA Securities, Inc. is a lender under our Credit Facility.</w:t>
      </w:r>
    </w:p>
    <w:p>
      <w:pPr>
        <w:spacing w:after="0" w:line="95"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6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has implemented the Prospectus Regulation or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Regulation:</w:t>
      </w:r>
    </w:p>
    <w:p>
      <w:pPr>
        <w:spacing w:after="0" w:line="75" w:lineRule="exact"/>
        <w:rPr>
          <w:sz w:val="20"/>
          <w:szCs w:val="20"/>
          <w:color w:val="auto"/>
        </w:rPr>
      </w:pPr>
    </w:p>
    <w:p>
      <w:pPr>
        <w:ind w:left="1800" w:hanging="178"/>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800" w:right="1039" w:hanging="178"/>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31(4)(2) of the Prospectus Regulation;</w:t>
      </w:r>
    </w:p>
    <w:p>
      <w:pPr>
        <w:spacing w:after="0" w:line="144"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provided that no such offer or shares of our common stock shall result in a requirement for the publication by us or any placement agent or underwriter of a prospectus pursuant to Article 3 of the Prospectus Regulation or supplement a prospectus pursuant to Article 23 of the Prospectus Regulation.</w:t>
      </w:r>
    </w:p>
    <w:p>
      <w:pPr>
        <w:spacing w:after="0" w:line="108"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11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representatives has been obtained to each such proposed offer or resale.</w:t>
      </w:r>
    </w:p>
    <w:p>
      <w:pPr>
        <w:spacing w:after="0" w:line="108"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94"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public” in relation to our common stock in any Relevant Member State means the communication in any form and by any means of sufficient information on the terms of the offer and our common stock to be offered so as to enable an investor to decide to purchase our common stock, as the same may be varied in that Relevant Member State by any measure implementing the Prospectus Directive in that Relevant Member State, the expression “Prospectus Regulation” means Regulation (EU) 2017/1129 and includes any relevant implementing measure in the Relevant Member State.</w:t>
      </w:r>
    </w:p>
    <w:p>
      <w:pPr>
        <w:spacing w:after="0" w:line="336" w:lineRule="exact"/>
        <w:rPr>
          <w:sz w:val="20"/>
          <w:szCs w:val="20"/>
          <w:color w:val="auto"/>
        </w:rPr>
      </w:pPr>
    </w:p>
    <w:p>
      <w:pPr>
        <w:jc w:val="both"/>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United Kingdom, the Prospectus Regulation as it forms part of UK domestic law by virtue of the European Union (Withdrawal) Act 2018.</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United Kingdom, this prospectus is only addressed to and directed as qualified investors who are</w:t>
      </w:r>
    </w:p>
    <w:p>
      <w:pPr>
        <w:spacing w:after="0" w:line="16" w:lineRule="exact"/>
        <w:rPr>
          <w:sz w:val="20"/>
          <w:szCs w:val="20"/>
          <w:color w:val="auto"/>
        </w:rPr>
      </w:pPr>
    </w:p>
    <w:p>
      <w:pPr>
        <w:ind w:left="1260" w:right="699" w:firstLine="2"/>
        <w:spacing w:after="0" w:line="236" w:lineRule="auto"/>
        <w:tabs>
          <w:tab w:leader="none" w:pos="14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or the Order, (ii) high net worth entities and other persons to whom it may lawfully be communicated, falling within Article 49(2)(a) to (d) of the Order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with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6"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3" w:lineRule="exact"/>
        <w:rPr>
          <w:sz w:val="20"/>
          <w:szCs w:val="20"/>
          <w:color w:val="auto"/>
        </w:rPr>
      </w:pPr>
    </w:p>
    <w:p>
      <w:pPr>
        <w:ind w:left="1260" w:right="1239" w:firstLine="360"/>
        <w:spacing w:after="0" w:line="250"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rPr>
          <w:sz w:val="20"/>
          <w:szCs w:val="20"/>
          <w:color w:val="auto"/>
        </w:rPr>
      </w:pPr>
      <w:r>
        <w:rPr>
          <w:rFonts w:ascii="Times New Roman" w:cs="Times New Roman" w:eastAsia="Times New Roman" w:hAnsi="Times New Roman"/>
          <w:sz w:val="18"/>
          <w:szCs w:val="18"/>
          <w:color w:val="auto"/>
        </w:rPr>
        <w:t>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0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11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18"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validity of the shares of Class B common stock will be passed upon for us by Simpson Thacher &amp; Bartlett LLP, New York, New York. Certain legal matters in connection with this offering will be passed upon for the underwriters by Goodwin Procter LLP, Redwood City, California and for the selling stockholders by Whalen LLP, Newport Beach, California.</w:t>
      </w:r>
    </w:p>
    <w:p>
      <w:pPr>
        <w:spacing w:after="0" w:line="17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Bentley Systems, Incorporated as of and for the years ended December 31, 2018 and 2019 have been included herein and in the registration statement in reliance upon the report of KPMG LLP, independent registered public accounting firm, appearing elsewhere herein, and upon the authority of said firm as experts in accounting and auditing. The audit report refers to changes in accounting principle for revenue from contracts with customers and sales commissions due to the adoption of new accounting standards as of January 1, 2019.</w:t>
      </w:r>
    </w:p>
    <w:p>
      <w:pPr>
        <w:spacing w:after="0" w:line="18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B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B common stock, we refer you to the registration statement of which this prospectus forms a part, including the exhibits filed as a part of the registration statement. If a contract or document has been filed as an exhibit to the registration statement of which this prospectus forms a part, please see the copy of the contract or document that has been filed. The SEC maintains an Internet website that contains reports, proxy statements and other information about issuers, like us, that file electronically with the SEC. The address of that website is www.sec.gov.</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www.bentley.com.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Audited Financial Statements: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3"/>
        </w:trPr>
        <w:tc>
          <w:tcPr>
            <w:tcW w:w="7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Report of Independent Registered Public Accounting Firm</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16">
              <w:r>
                <w:rPr>
                  <w:rFonts w:ascii="Times New Roman" w:cs="Times New Roman" w:eastAsia="Times New Roman" w:hAnsi="Times New Roman"/>
                  <w:sz w:val="18"/>
                  <w:szCs w:val="18"/>
                  <w:u w:val="single" w:color="auto"/>
                  <w:color w:val="0000EE"/>
                  <w:w w:val="95"/>
                </w:rPr>
                <w:t>F-2</w:t>
              </w:r>
            </w:hyperlink>
          </w:p>
        </w:tc>
      </w:tr>
      <w:tr>
        <w:trPr>
          <w:trHeight w:val="257"/>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Consolidated Balance Sheets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17">
              <w:r>
                <w:rPr>
                  <w:rFonts w:ascii="Times New Roman" w:cs="Times New Roman" w:eastAsia="Times New Roman" w:hAnsi="Times New Roman"/>
                  <w:sz w:val="18"/>
                  <w:szCs w:val="18"/>
                  <w:u w:val="single" w:color="auto"/>
                  <w:color w:val="0000EE"/>
                  <w:w w:val="95"/>
                </w:rPr>
                <w:t>F-3</w:t>
              </w:r>
            </w:hyperlink>
          </w:p>
        </w:tc>
      </w:tr>
      <w:tr>
        <w:trPr>
          <w:trHeight w:val="257"/>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Consolidated Statements of Operations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18">
              <w:r>
                <w:rPr>
                  <w:rFonts w:ascii="Times New Roman" w:cs="Times New Roman" w:eastAsia="Times New Roman" w:hAnsi="Times New Roman"/>
                  <w:sz w:val="18"/>
                  <w:szCs w:val="18"/>
                  <w:u w:val="single" w:color="auto"/>
                  <w:color w:val="0000EE"/>
                  <w:w w:val="95"/>
                </w:rPr>
                <w:t>F-4</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Consolidated Statements of Comprehensive Income</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19">
              <w:r>
                <w:rPr>
                  <w:rFonts w:ascii="Times New Roman" w:cs="Times New Roman" w:eastAsia="Times New Roman" w:hAnsi="Times New Roman"/>
                  <w:sz w:val="18"/>
                  <w:szCs w:val="18"/>
                  <w:u w:val="single" w:color="auto"/>
                  <w:color w:val="0000EE"/>
                  <w:w w:val="95"/>
                </w:rPr>
                <w:t>F-5</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Consolidated Statements of Stockholders’ Equity</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20">
              <w:r>
                <w:rPr>
                  <w:rFonts w:ascii="Times New Roman" w:cs="Times New Roman" w:eastAsia="Times New Roman" w:hAnsi="Times New Roman"/>
                  <w:sz w:val="18"/>
                  <w:szCs w:val="18"/>
                  <w:u w:val="single" w:color="auto"/>
                  <w:color w:val="0000EE"/>
                  <w:w w:val="95"/>
                </w:rPr>
                <w:t>F-6</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Consolidated Statements of Cash Flows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21">
              <w:r>
                <w:rPr>
                  <w:rFonts w:ascii="Times New Roman" w:cs="Times New Roman" w:eastAsia="Times New Roman" w:hAnsi="Times New Roman"/>
                  <w:sz w:val="18"/>
                  <w:szCs w:val="18"/>
                  <w:u w:val="single" w:color="auto"/>
                  <w:color w:val="0000EE"/>
                  <w:w w:val="95"/>
                </w:rPr>
                <w:t>F-7</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Notes to Consolidated Financial Statements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22">
              <w:r>
                <w:rPr>
                  <w:rFonts w:ascii="Times New Roman" w:cs="Times New Roman" w:eastAsia="Times New Roman" w:hAnsi="Times New Roman"/>
                  <w:sz w:val="18"/>
                  <w:szCs w:val="18"/>
                  <w:u w:val="single" w:color="auto"/>
                  <w:color w:val="0000EE"/>
                  <w:w w:val="95"/>
                </w:rPr>
                <w:t>F-8</w:t>
              </w:r>
            </w:hyperlink>
          </w:p>
        </w:tc>
      </w:tr>
      <w:tr>
        <w:trPr>
          <w:trHeight w:val="382"/>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Interim Financial Statements: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3"/>
        </w:trPr>
        <w:tc>
          <w:tcPr>
            <w:tcW w:w="7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Consolidated Balance Sheets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59">
              <w:r>
                <w:rPr>
                  <w:rFonts w:ascii="Times New Roman" w:cs="Times New Roman" w:eastAsia="Times New Roman" w:hAnsi="Times New Roman"/>
                  <w:sz w:val="18"/>
                  <w:szCs w:val="18"/>
                  <w:u w:val="single" w:color="auto"/>
                  <w:color w:val="0000EE"/>
                  <w:w w:val="99"/>
                </w:rPr>
                <w:t>F-45</w:t>
              </w:r>
            </w:hyperlink>
          </w:p>
        </w:tc>
      </w:tr>
      <w:tr>
        <w:trPr>
          <w:trHeight w:val="257"/>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Consolidated Statements of Operations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0">
              <w:r>
                <w:rPr>
                  <w:rFonts w:ascii="Times New Roman" w:cs="Times New Roman" w:eastAsia="Times New Roman" w:hAnsi="Times New Roman"/>
                  <w:sz w:val="18"/>
                  <w:szCs w:val="18"/>
                  <w:u w:val="single" w:color="auto"/>
                  <w:color w:val="0000EE"/>
                  <w:w w:val="99"/>
                </w:rPr>
                <w:t>F-46</w:t>
              </w:r>
            </w:hyperlink>
          </w:p>
        </w:tc>
      </w:tr>
      <w:tr>
        <w:trPr>
          <w:trHeight w:val="257"/>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61">
              <w:r>
                <w:rPr>
                  <w:rFonts w:ascii="Times New Roman" w:cs="Times New Roman" w:eastAsia="Times New Roman" w:hAnsi="Times New Roman"/>
                  <w:sz w:val="18"/>
                  <w:szCs w:val="18"/>
                  <w:u w:val="single" w:color="auto"/>
                  <w:color w:val="0000EE"/>
                </w:rPr>
                <w:t>Consolidated Statements of Comprehensive Income</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61">
              <w:r>
                <w:rPr>
                  <w:rFonts w:ascii="Times New Roman" w:cs="Times New Roman" w:eastAsia="Times New Roman" w:hAnsi="Times New Roman"/>
                  <w:sz w:val="18"/>
                  <w:szCs w:val="18"/>
                  <w:u w:val="single" w:color="auto"/>
                  <w:color w:val="0000EE"/>
                  <w:w w:val="99"/>
                </w:rPr>
                <w:t>F-47</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3">
              <w:r>
                <w:rPr>
                  <w:rFonts w:ascii="Times New Roman" w:cs="Times New Roman" w:eastAsia="Times New Roman" w:hAnsi="Times New Roman"/>
                  <w:sz w:val="18"/>
                  <w:szCs w:val="18"/>
                  <w:u w:val="single" w:color="auto"/>
                  <w:color w:val="0000EE"/>
                </w:rPr>
                <w:t>Consolidated Statements of Stockholders’ Equity</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3">
              <w:r>
                <w:rPr>
                  <w:rFonts w:ascii="Times New Roman" w:cs="Times New Roman" w:eastAsia="Times New Roman" w:hAnsi="Times New Roman"/>
                  <w:sz w:val="18"/>
                  <w:szCs w:val="18"/>
                  <w:u w:val="single" w:color="auto"/>
                  <w:color w:val="0000EE"/>
                  <w:w w:val="99"/>
                </w:rPr>
                <w:t>F-49</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Consolidated Statements of Cash Flows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64">
              <w:r>
                <w:rPr>
                  <w:rFonts w:ascii="Times New Roman" w:cs="Times New Roman" w:eastAsia="Times New Roman" w:hAnsi="Times New Roman"/>
                  <w:sz w:val="18"/>
                  <w:szCs w:val="18"/>
                  <w:u w:val="single" w:color="auto"/>
                  <w:color w:val="0000EE"/>
                  <w:w w:val="99"/>
                </w:rPr>
                <w:t>F-50</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Notes to Consolidated Financial Statements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5">
              <w:r>
                <w:rPr>
                  <w:rFonts w:ascii="Times New Roman" w:cs="Times New Roman" w:eastAsia="Times New Roman" w:hAnsi="Times New Roman"/>
                  <w:sz w:val="18"/>
                  <w:szCs w:val="18"/>
                  <w:u w:val="single" w:color="auto"/>
                  <w:color w:val="0000EE"/>
                  <w:w w:val="99"/>
                </w:rPr>
                <w:t>F-51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-2451100</wp:posOffset>
            </wp:positionV>
            <wp:extent cx="48520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48520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Bentley Systems, Incorporated and subsidiaries (the Company) as of December 31, 2019 and 2018, the related consolidated statements of operations, comprehensive income, stockholders’ equity,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60" w:lineRule="exact"/>
        <w:rPr>
          <w:sz w:val="20"/>
          <w:szCs w:val="20"/>
          <w:color w:val="auto"/>
        </w:rPr>
      </w:pPr>
    </w:p>
    <w:p>
      <w:pPr>
        <w:jc w:val="both"/>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revenue from contracts with customers and sales commissions as of January 1, 2019 due to the adoption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Subtopic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6"/>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658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121,101</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$7,611 and $7,274, respectively</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204,501</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6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353,558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480,065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1260" w:type="dxa"/>
            <w:vAlign w:val="bottom"/>
          </w:tcPr>
          <w:p>
            <w:pPr>
              <w:spacing w:after="0"/>
              <w:rPr>
                <w:sz w:val="24"/>
                <w:szCs w:val="24"/>
                <w:color w:val="auto"/>
              </w:rPr>
            </w:pPr>
          </w:p>
        </w:tc>
        <w:tc>
          <w:tcPr>
            <w:tcW w:w="65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580" w:type="dxa"/>
            <w:vAlign w:val="bottom"/>
            <w:gridSpan w:val="2"/>
            <w:shd w:val="clear" w:color="auto" w:fill="CCEEFF"/>
          </w:tcPr>
          <w:p>
            <w:pPr>
              <w:ind w:left="188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287,682</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204,991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435,742</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392,413</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776,165</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659,980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$0.01 par value, authorized 320,000,000 shares; issued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11,601,757 shares as of December 31, 2018 and 2019 and Class B Common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$0.01 par value, authorized 600,000,000 shares; issued 238,681,756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243,241,192 shares as of December 31, 2018 and 2019, respectively</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408,667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(218,553)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(52,669)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18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334,619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8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26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658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F-3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-864870</wp:posOffset>
            </wp:positionV>
            <wp:extent cx="477456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-2699385</wp:posOffset>
            </wp:positionV>
            <wp:extent cx="477456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-3745230</wp:posOffset>
            </wp:positionV>
            <wp:extent cx="47745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-6111240</wp:posOffset>
            </wp:positionV>
            <wp:extent cx="47745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-7105650</wp:posOffset>
            </wp:positionV>
            <wp:extent cx="47663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18" w:name="page219"/>
    <w:bookmarkEnd w:id="21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28"/>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60" w:type="dxa"/>
            <w:vAlign w:val="bottom"/>
          </w:tcPr>
          <w:p>
            <w:pPr>
              <w:spacing w:after="0"/>
              <w:rPr>
                <w:sz w:val="21"/>
                <w:szCs w:val="21"/>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60" w:type="dxa"/>
            <w:vAlign w:val="bottom"/>
          </w:tcPr>
          <w:p>
            <w:pPr>
              <w:spacing w:after="0"/>
              <w:rPr>
                <w:sz w:val="22"/>
                <w:szCs w:val="22"/>
                <w:color w:val="auto"/>
              </w:rPr>
            </w:pPr>
          </w:p>
        </w:tc>
      </w:tr>
      <w:tr>
        <w:trPr>
          <w:trHeight w:val="223"/>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60" w:type="dxa"/>
            <w:vAlign w:val="bottom"/>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60" w:type="dxa"/>
            <w:vAlign w:val="bottom"/>
          </w:tcPr>
          <w:p>
            <w:pPr>
              <w:spacing w:after="0"/>
              <w:rPr>
                <w:sz w:val="22"/>
                <w:szCs w:val="22"/>
                <w:color w:val="auto"/>
              </w:rPr>
            </w:pPr>
          </w:p>
        </w:tc>
      </w:tr>
      <w:tr>
        <w:trPr>
          <w:trHeight w:val="237"/>
        </w:trPr>
        <w:tc>
          <w:tcPr>
            <w:tcW w:w="60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60" w:type="dxa"/>
            <w:vAlign w:val="bottom"/>
          </w:tcPr>
          <w:p>
            <w:pPr>
              <w:spacing w:after="0"/>
              <w:rPr>
                <w:sz w:val="20"/>
                <w:szCs w:val="20"/>
                <w:color w:val="auto"/>
              </w:rPr>
            </w:pPr>
          </w:p>
        </w:tc>
      </w:tr>
      <w:tr>
        <w:trPr>
          <w:trHeight w:val="223"/>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60" w:type="dxa"/>
            <w:vAlign w:val="bottom"/>
          </w:tcPr>
          <w:p>
            <w:pPr>
              <w:spacing w:after="0"/>
              <w:rPr>
                <w:sz w:val="21"/>
                <w:szCs w:val="21"/>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60" w:type="dxa"/>
            <w:vAlign w:val="bottom"/>
          </w:tcPr>
          <w:p>
            <w:pPr>
              <w:spacing w:after="0"/>
              <w:rPr>
                <w:sz w:val="22"/>
                <w:szCs w:val="22"/>
                <w:color w:val="auto"/>
              </w:rPr>
            </w:pPr>
          </w:p>
        </w:tc>
      </w:tr>
      <w:tr>
        <w:trPr>
          <w:trHeight w:val="237"/>
        </w:trPr>
        <w:tc>
          <w:tcPr>
            <w:tcW w:w="60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60" w:type="dxa"/>
            <w:vAlign w:val="bottom"/>
          </w:tcPr>
          <w:p>
            <w:pPr>
              <w:spacing w:after="0"/>
              <w:rPr>
                <w:sz w:val="20"/>
                <w:szCs w:val="20"/>
                <w:color w:val="auto"/>
              </w:rPr>
            </w:pPr>
          </w:p>
        </w:tc>
      </w:tr>
      <w:tr>
        <w:trPr>
          <w:trHeight w:val="237"/>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60" w:type="dxa"/>
            <w:vAlign w:val="bottom"/>
          </w:tcPr>
          <w:p>
            <w:pPr>
              <w:spacing w:after="0"/>
              <w:rPr>
                <w:sz w:val="20"/>
                <w:szCs w:val="20"/>
                <w:color w:val="auto"/>
              </w:rPr>
            </w:pPr>
          </w:p>
        </w:tc>
      </w:tr>
      <w:tr>
        <w:trPr>
          <w:trHeight w:val="22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60" w:type="dxa"/>
            <w:vAlign w:val="bottom"/>
          </w:tcPr>
          <w:p>
            <w:pPr>
              <w:spacing w:after="0"/>
              <w:rPr>
                <w:sz w:val="21"/>
                <w:szCs w:val="21"/>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60" w:type="dxa"/>
            <w:vAlign w:val="bottom"/>
          </w:tcPr>
          <w:p>
            <w:pPr>
              <w:spacing w:after="0"/>
              <w:rPr>
                <w:sz w:val="21"/>
                <w:szCs w:val="21"/>
                <w:color w:val="auto"/>
              </w:rPr>
            </w:pPr>
          </w:p>
        </w:tc>
      </w:tr>
      <w:tr>
        <w:trPr>
          <w:trHeight w:val="243"/>
        </w:trPr>
        <w:tc>
          <w:tcPr>
            <w:tcW w:w="6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60" w:type="dxa"/>
            <w:vAlign w:val="bottom"/>
          </w:tcPr>
          <w:p>
            <w:pPr>
              <w:spacing w:after="0"/>
              <w:rPr>
                <w:sz w:val="21"/>
                <w:szCs w:val="21"/>
                <w:color w:val="auto"/>
              </w:rPr>
            </w:pPr>
          </w:p>
        </w:tc>
      </w:tr>
      <w:tr>
        <w:trPr>
          <w:trHeight w:val="257"/>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60" w:type="dxa"/>
            <w:vAlign w:val="bottom"/>
          </w:tcPr>
          <w:p>
            <w:pPr>
              <w:spacing w:after="0"/>
              <w:rPr>
                <w:sz w:val="22"/>
                <w:szCs w:val="22"/>
                <w:color w:val="auto"/>
              </w:rPr>
            </w:pPr>
          </w:p>
        </w:tc>
      </w:tr>
      <w:tr>
        <w:trPr>
          <w:trHeight w:val="236"/>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60" w:type="dxa"/>
            <w:vAlign w:val="bottom"/>
          </w:tcPr>
          <w:p>
            <w:pPr>
              <w:spacing w:after="0"/>
              <w:rPr>
                <w:sz w:val="20"/>
                <w:szCs w:val="20"/>
                <w:color w:val="auto"/>
              </w:rPr>
            </w:pPr>
          </w:p>
        </w:tc>
      </w:tr>
      <w:tr>
        <w:trPr>
          <w:trHeight w:val="223"/>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60" w:type="dxa"/>
            <w:vAlign w:val="bottom"/>
          </w:tcPr>
          <w:p>
            <w:pPr>
              <w:spacing w:after="0"/>
              <w:rPr>
                <w:sz w:val="19"/>
                <w:szCs w:val="19"/>
                <w:color w:val="auto"/>
              </w:rPr>
            </w:pPr>
          </w:p>
        </w:tc>
      </w:tr>
      <w:tr>
        <w:trPr>
          <w:trHeight w:val="25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60" w:type="dxa"/>
            <w:vAlign w:val="bottom"/>
          </w:tcPr>
          <w:p>
            <w:pPr>
              <w:spacing w:after="0"/>
              <w:rPr>
                <w:sz w:val="22"/>
                <w:szCs w:val="22"/>
                <w:color w:val="auto"/>
              </w:rPr>
            </w:pPr>
          </w:p>
        </w:tc>
      </w:tr>
      <w:tr>
        <w:trPr>
          <w:trHeight w:val="27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37"/>
        </w:trPr>
        <w:tc>
          <w:tcPr>
            <w:tcW w:w="608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60" w:type="dxa"/>
            <w:vAlign w:val="bottom"/>
          </w:tcPr>
          <w:p>
            <w:pPr>
              <w:spacing w:after="0"/>
              <w:rPr>
                <w:sz w:val="20"/>
                <w:szCs w:val="20"/>
                <w:color w:val="auto"/>
              </w:rPr>
            </w:pPr>
          </w:p>
        </w:tc>
      </w:tr>
      <w:tr>
        <w:trPr>
          <w:trHeight w:val="25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60" w:type="dxa"/>
            <w:vAlign w:val="bottom"/>
          </w:tcPr>
          <w:p>
            <w:pPr>
              <w:spacing w:after="0"/>
              <w:rPr>
                <w:sz w:val="22"/>
                <w:szCs w:val="22"/>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23"/>
                <w:szCs w:val="23"/>
                <w:color w:val="auto"/>
              </w:rPr>
            </w:pPr>
          </w:p>
        </w:tc>
      </w:tr>
      <w:tr>
        <w:trPr>
          <w:trHeight w:val="237"/>
        </w:trPr>
        <w:tc>
          <w:tcPr>
            <w:tcW w:w="608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20"/>
                <w:szCs w:val="20"/>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0"/>
        </w:trPr>
        <w:tc>
          <w:tcPr>
            <w:tcW w:w="608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10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60" w:type="dxa"/>
            <w:vAlign w:val="bottom"/>
          </w:tcPr>
          <w:p>
            <w:pPr>
              <w:spacing w:after="0"/>
              <w:rPr>
                <w:sz w:val="24"/>
                <w:szCs w:val="24"/>
                <w:color w:val="auto"/>
              </w:rPr>
            </w:pPr>
          </w:p>
        </w:tc>
      </w:tr>
      <w:tr>
        <w:trPr>
          <w:trHeight w:val="196"/>
        </w:trPr>
        <w:tc>
          <w:tcPr>
            <w:tcW w:w="60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310"/>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60" w:type="dxa"/>
            <w:vAlign w:val="bottom"/>
          </w:tcPr>
          <w:p>
            <w:pPr>
              <w:spacing w:after="0"/>
              <w:rPr>
                <w:sz w:val="24"/>
                <w:szCs w:val="24"/>
                <w:color w:val="auto"/>
              </w:rPr>
            </w:pPr>
          </w:p>
        </w:tc>
      </w:tr>
      <w:tr>
        <w:trPr>
          <w:trHeight w:val="237"/>
        </w:trPr>
        <w:tc>
          <w:tcPr>
            <w:tcW w:w="60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60" w:type="dxa"/>
            <w:vAlign w:val="bottom"/>
          </w:tcPr>
          <w:p>
            <w:pPr>
              <w:spacing w:after="0"/>
              <w:rPr>
                <w:sz w:val="24"/>
                <w:szCs w:val="24"/>
                <w:color w:val="auto"/>
              </w:rPr>
            </w:pPr>
          </w:p>
        </w:tc>
      </w:tr>
      <w:tr>
        <w:trPr>
          <w:trHeight w:val="237"/>
        </w:trPr>
        <w:tc>
          <w:tcPr>
            <w:tcW w:w="60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6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-1268095</wp:posOffset>
            </wp:positionV>
            <wp:extent cx="52120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-1928495</wp:posOffset>
            </wp:positionV>
            <wp:extent cx="45688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45688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-3522345</wp:posOffset>
            </wp:positionV>
            <wp:extent cx="45688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-4156710</wp:posOffset>
            </wp:positionV>
            <wp:extent cx="45688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-5108575</wp:posOffset>
            </wp:positionV>
            <wp:extent cx="45605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22225</wp:posOffset>
            </wp:positionV>
            <wp:extent cx="1028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$103,096</w:t>
            </w:r>
          </w:p>
        </w:tc>
        <w:tc>
          <w:tcPr>
            <w:tcW w:w="60" w:type="dxa"/>
            <w:vAlign w:val="bottom"/>
          </w:tcPr>
          <w:p>
            <w:pPr>
              <w:spacing w:after="0"/>
              <w:rPr>
                <w:sz w:val="21"/>
                <w:szCs w:val="21"/>
                <w:color w:val="auto"/>
              </w:rPr>
            </w:pPr>
          </w:p>
        </w:tc>
      </w:tr>
      <w:tr>
        <w:trPr>
          <w:trHeight w:val="25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60" w:type="dxa"/>
            <w:vAlign w:val="bottom"/>
          </w:tcPr>
          <w:p>
            <w:pPr>
              <w:spacing w:after="0"/>
              <w:rPr>
                <w:sz w:val="22"/>
                <w:szCs w:val="22"/>
                <w:color w:val="auto"/>
              </w:rPr>
            </w:pP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($62) and $203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66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tcPr>
          <w:p>
            <w:pPr>
              <w:spacing w:after="0"/>
              <w:rPr>
                <w:sz w:val="22"/>
                <w:szCs w:val="22"/>
                <w:color w:val="auto"/>
              </w:rPr>
            </w:pPr>
          </w:p>
        </w:tc>
      </w:tr>
      <w:tr>
        <w:trPr>
          <w:trHeight w:val="263"/>
        </w:trPr>
        <w:tc>
          <w:tcPr>
            <w:tcW w:w="6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$131,238</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$108,583</w:t>
            </w:r>
          </w:p>
        </w:tc>
        <w:tc>
          <w:tcPr>
            <w:tcW w:w="6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47745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-1054100</wp:posOffset>
            </wp:positionV>
            <wp:extent cx="47663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2"/>
                <w:szCs w:val="12"/>
                <w:color w:val="auto"/>
              </w:rPr>
            </w:pPr>
          </w:p>
        </w:tc>
        <w:tc>
          <w:tcPr>
            <w:tcW w:w="920" w:type="dxa"/>
            <w:vAlign w:val="bottom"/>
            <w:gridSpan w:val="3"/>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7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80" w:type="dxa"/>
            <w:vAlign w:val="bottom"/>
            <w:gridSpan w:val="4"/>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76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auto"/>
                <w:w w:val="88"/>
              </w:rPr>
              <w:t>Accumulated</w:t>
            </w:r>
          </w:p>
        </w:tc>
        <w:tc>
          <w:tcPr>
            <w:tcW w:w="94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247,465,176</w:t>
            </w: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$2,474</w:t>
            </w: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$ 377,809</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(18,540)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(309,576)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142,112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(10,874)</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(20,005)</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(465,979)</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176"/>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Shares issued in connection with deferred</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2,332,585</w:t>
            </w:r>
          </w:p>
        </w:tc>
        <w:tc>
          <w:tcPr>
            <w:tcW w:w="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5"/>
                <w:szCs w:val="15"/>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(6,861)</w:t>
            </w: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compensation plan</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Deferred compensation plan voluntary</w:t>
            </w:r>
          </w:p>
        </w:tc>
        <w:tc>
          <w:tcPr>
            <w:tcW w:w="10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540" w:type="dxa"/>
            <w:vAlign w:val="bottom"/>
            <w:tcBorders>
              <w:right w:val="single" w:sz="8" w:color="CCEEFF"/>
            </w:tcBorders>
            <w:gridSpan w:val="2"/>
            <w:vMerge w:val="continue"/>
            <w:shd w:val="clear" w:color="auto" w:fill="CCEEFF"/>
          </w:tcPr>
          <w:p>
            <w:pPr>
              <w:spacing w:after="0"/>
              <w:rPr>
                <w:sz w:val="16"/>
                <w:szCs w:val="16"/>
                <w:color w:val="auto"/>
              </w:rPr>
            </w:pPr>
          </w:p>
        </w:tc>
        <w:tc>
          <w:tcPr>
            <w:tcW w:w="66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Payment of shareholder Put and Call</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(1,131,928)</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(8,560)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(8,571)</w:t>
            </w: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rights</w:t>
            </w:r>
          </w:p>
        </w:tc>
        <w:tc>
          <w:tcPr>
            <w:tcW w:w="100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(1,281,633)</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(9,673)</w:t>
            </w: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2,812,998</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546,783</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Cumulative effect adjustment on deferred</w:t>
            </w:r>
          </w:p>
        </w:tc>
        <w:tc>
          <w:tcPr>
            <w:tcW w:w="100" w:type="dxa"/>
            <w:vAlign w:val="bottom"/>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 expense</w:t>
            </w: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250,283,513</w:t>
            </w:r>
          </w:p>
        </w:tc>
        <w:tc>
          <w:tcPr>
            <w:tcW w:w="10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392,896</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(29,414)</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(218,553)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147,431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(25,390)</w:t>
            </w: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(318,203)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2,322,983</w:t>
            </w:r>
          </w:p>
        </w:tc>
        <w:tc>
          <w:tcPr>
            <w:tcW w:w="100" w:type="dxa"/>
            <w:vAlign w:val="bottom"/>
            <w:tcBorders>
              <w:right w:val="single" w:sz="8" w:color="CCEEFF"/>
            </w:tcBorders>
            <w:shd w:val="clear" w:color="auto" w:fill="CCEEFF"/>
          </w:tcPr>
          <w:p>
            <w:pPr>
              <w:spacing w:after="0"/>
              <w:rPr>
                <w:sz w:val="16"/>
                <w:szCs w:val="16"/>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(5,609)</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compensation plan</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compensation plan voluntary</w:t>
            </w:r>
          </w:p>
        </w:tc>
        <w:tc>
          <w:tcPr>
            <w:tcW w:w="100" w:type="dxa"/>
            <w:vAlign w:val="bottom"/>
          </w:tcPr>
          <w:p>
            <w:pPr>
              <w:spacing w:after="0"/>
              <w:rPr>
                <w:sz w:val="16"/>
                <w:szCs w:val="16"/>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of shareholder Put and Call</w:t>
            </w:r>
          </w:p>
        </w:tc>
        <w:tc>
          <w:tcPr>
            <w:tcW w:w="10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(1,126,747)</w:t>
            </w:r>
          </w:p>
        </w:tc>
        <w:tc>
          <w:tcPr>
            <w:tcW w:w="5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(8,838)</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rights</w:t>
            </w:r>
          </w:p>
        </w:tc>
        <w:tc>
          <w:tcPr>
            <w:tcW w:w="1000" w:type="dxa"/>
            <w:vAlign w:val="bottom"/>
            <w:tcBorders>
              <w:right w:val="single" w:sz="8" w:color="CCEEFF"/>
            </w:tcBorders>
            <w:gridSpan w:val="3"/>
            <w:vMerge w:val="continue"/>
            <w:shd w:val="clear" w:color="auto" w:fill="CCEEFF"/>
          </w:tcPr>
          <w:p>
            <w:pPr>
              <w:spacing w:after="0"/>
              <w:rPr>
                <w:sz w:val="16"/>
                <w:szCs w:val="16"/>
                <w:color w:val="auto"/>
              </w:rPr>
            </w:pPr>
          </w:p>
        </w:tc>
        <w:tc>
          <w:tcPr>
            <w:tcW w:w="540" w:type="dxa"/>
            <w:vAlign w:val="bottom"/>
            <w:tcBorders>
              <w:right w:val="single" w:sz="8" w:color="CCEEFF"/>
            </w:tcBorders>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64,509</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3,214,542</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395,336</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40"/>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254,842,949</w:t>
            </w:r>
          </w:p>
        </w:tc>
        <w:tc>
          <w:tcPr>
            <w:tcW w:w="10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2,548</w:t>
            </w: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$ 408,667</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(23,927)</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(52,669)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334,619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17970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20574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1631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596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264033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-2459355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-2459355</wp:posOffset>
            </wp:positionV>
            <wp:extent cx="1797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-2459355</wp:posOffset>
            </wp:positionV>
            <wp:extent cx="2057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-2459355</wp:posOffset>
            </wp:positionV>
            <wp:extent cx="1631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-2459355</wp:posOffset>
            </wp:positionV>
            <wp:extent cx="596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-2459355</wp:posOffset>
            </wp:positionV>
            <wp:extent cx="26403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-4697095</wp:posOffset>
            </wp:positionV>
            <wp:extent cx="46888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accounts receivable allowance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(60,060)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 fair value of call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 (gain)</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161,465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costs to translate software products into foreign languages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 of $7,774 and $2,523, respectively</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6"/>
              </w:rPr>
              <w:t>(135,264)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(154,757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(159,500)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(216,250)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shares acquired including shares withheld for taxes</w:t>
            </w:r>
          </w:p>
        </w:tc>
        <w:tc>
          <w:tcPr>
            <w:tcW w:w="10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Purchase Agreement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common stock options and restricted stock</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contingent acquisition consideration</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deferred acquisition consideration</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-1028065</wp:posOffset>
            </wp:positionV>
            <wp:extent cx="47402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-1319530</wp:posOffset>
            </wp:positionV>
            <wp:extent cx="474027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-1610995</wp:posOffset>
            </wp:positionV>
            <wp:extent cx="47402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-2767965</wp:posOffset>
            </wp:positionV>
            <wp:extent cx="474027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-3590925</wp:posOffset>
            </wp:positionV>
            <wp:extent cx="47402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-6480175</wp:posOffset>
            </wp:positionV>
            <wp:extent cx="47320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5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4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 </w:t>
      </w:r>
      <w:r>
        <w:rPr>
          <w:rFonts w:ascii="Times New Roman" w:cs="Times New Roman" w:eastAsia="Times New Roman" w:hAnsi="Times New Roman"/>
          <w:sz w:val="18"/>
          <w:szCs w:val="18"/>
          <w:color w:val="auto"/>
        </w:rPr>
        <w:t>Bentley Systems, Incorporated (“Bentley”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28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 </w:t>
      </w:r>
      <w:r>
        <w:rPr>
          <w:rFonts w:ascii="Times New Roman" w:cs="Times New Roman" w:eastAsia="Times New Roman" w:hAnsi="Times New Roman"/>
          <w:sz w:val="18"/>
          <w:szCs w:val="18"/>
          <w:color w:val="auto"/>
        </w:rPr>
        <w:t>The consolidated financial statements and accompanying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prepared in United States (“U.S.”) dollars and in accordance with accounting principles generally accepted in the United States of America (“U.S. GAAP”). The accompanying consolidated financial statements include the accounts of the Company and its wholly-owned subsidiaries. All significant intercompany accounts and transactions have been eliminated in consolidation.</w:t>
      </w:r>
    </w:p>
    <w:p>
      <w:pPr>
        <w:spacing w:after="0" w:line="117"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309"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Dividend — </w:t>
      </w:r>
      <w:r>
        <w:rPr>
          <w:rFonts w:ascii="Times New Roman" w:cs="Times New Roman" w:eastAsia="Times New Roman" w:hAnsi="Times New Roman"/>
          <w:sz w:val="18"/>
          <w:szCs w:val="18"/>
          <w:color w:val="auto"/>
        </w:rPr>
        <w:t>On May 1, 2018, the Company paid a previously declared stock dividend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to all holders of the Company’s common stock as of April 30, 2018. Under the terms of the Dividend, each stockholder received one share of the Company’s Class B Common Stock for each share of either Class A or Class B Common Stock then owned, including shares held in the Company’s 401(k)/Profit Sharing plan. Because the Dividend had the economic effect of a 2-for-1 stock split (with twice as many shares issued, each worth half the original value of a share), all prior period share and per share amounts presented in the consolidated financial statements and notes have been adjusted on a retroactive basis to give effect to the Dividend.</w:t>
      </w:r>
    </w:p>
    <w:p>
      <w:pPr>
        <w:spacing w:after="0" w:line="124"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In addition, under the terms of the Company’s equity incentive plans and instruments, all outstanding awards and instruments were automatically adjusted as required by their terms to reflect the Dividend, including, as it relates to stock options, by doubling the number of outstanding options and reducing by one-half the exercise prices of all outstanding options.</w:t>
      </w:r>
    </w:p>
    <w:p>
      <w:pPr>
        <w:spacing w:after="0" w:line="109" w:lineRule="exact"/>
        <w:rPr>
          <w:sz w:val="20"/>
          <w:szCs w:val="20"/>
          <w:color w:val="auto"/>
        </w:rPr>
      </w:pPr>
    </w:p>
    <w:p>
      <w:pPr>
        <w:ind w:left="1260" w:right="81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and related disclosures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critical estimates and assumptions include revenue recognition, adequacy of allowance for accounts receivable, determination of the fair value of acquired assets and liabilities, the fair value of derivative financial instruments, the fair value of stock-based compensation, useful lives for depreciation and amortization, impairment of goodwill and intangible assets, and accounting for income taxes. Actual results could differ materially from these estimates.</w:t>
      </w: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5" w:lineRule="exact"/>
        <w:rPr>
          <w:sz w:val="20"/>
          <w:szCs w:val="20"/>
          <w:color w:val="auto"/>
        </w:rPr>
      </w:pPr>
    </w:p>
    <w:p>
      <w:pPr>
        <w:ind w:left="1260" w:right="8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 </w:t>
      </w:r>
      <w:r>
        <w:rPr>
          <w:rFonts w:ascii="Times New Roman" w:cs="Times New Roman" w:eastAsia="Times New Roman" w:hAnsi="Times New Roman"/>
          <w:sz w:val="18"/>
          <w:szCs w:val="18"/>
          <w:color w:val="auto"/>
        </w:rPr>
        <w:t>Certain prior year amounts have been reclassified for consistency with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presentation. These reclassifications had no effect on the reported results of operations.</w:t>
      </w:r>
    </w:p>
    <w:p>
      <w:pPr>
        <w:spacing w:after="0" w:line="74" w:lineRule="exact"/>
        <w:rPr>
          <w:sz w:val="20"/>
          <w:szCs w:val="20"/>
          <w:color w:val="auto"/>
        </w:rPr>
      </w:pPr>
    </w:p>
    <w:p>
      <w:pPr>
        <w:ind w:left="1260" w:right="8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 </w:t>
      </w:r>
      <w:r>
        <w:rPr>
          <w:rFonts w:ascii="Times New Roman" w:cs="Times New Roman" w:eastAsia="Times New Roman" w:hAnsi="Times New Roman"/>
          <w:sz w:val="18"/>
          <w:szCs w:val="18"/>
          <w:color w:val="auto"/>
        </w:rPr>
        <w:t>The Company considers all highly liquid investments with a maturity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or less at the date of purchase to be cash equivalents. At December 31, 2018 and 2019, all of the Company’s cash and cash equivalents consisted of money market funds and cash held in checking accounts maintained at various financial institutions. Cash equivalents are recorded at cost, which approximates fair value.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 </w:t>
      </w:r>
      <w:r>
        <w:rPr>
          <w:rFonts w:ascii="Times New Roman" w:cs="Times New Roman" w:eastAsia="Times New Roman" w:hAnsi="Times New Roman"/>
          <w:sz w:val="18"/>
          <w:szCs w:val="18"/>
          <w:color w:val="auto"/>
        </w:rPr>
        <w:t>On January 1, 2019, the Company adopted Accounting Standards Update (“ASU”) No.</w:t>
      </w:r>
    </w:p>
    <w:p>
      <w:pPr>
        <w:spacing w:after="0" w:line="31"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color w:val="auto"/>
        </w:rPr>
        <w:t xml:space="preserve">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related amendments (“Topic 606”) as discussed further in Recently Adopted Accounting Guidance below. Results for reporting periods beginning on or after January 1, 2019 are presented under Topic 606, while prior period amounts are not adjusted and continue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revenues for non-software deliverables in accordance with Topic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The Company refers to ASC 985-605 and Topic 605-25 collectively as Topic 605.</w:t>
      </w:r>
    </w:p>
    <w:p>
      <w:pPr>
        <w:spacing w:after="0" w:line="121"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for the Company’s revenue recognition are explained in Note 3, Revenue from Contracts with Customers.</w:t>
      </w:r>
    </w:p>
    <w:p>
      <w:pPr>
        <w:spacing w:after="0" w:line="77"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 </w:t>
      </w:r>
      <w:r>
        <w:rPr>
          <w:rFonts w:ascii="Times New Roman" w:cs="Times New Roman" w:eastAsia="Times New Roman" w:hAnsi="Times New Roman"/>
          <w:sz w:val="18"/>
          <w:szCs w:val="18"/>
          <w:color w:val="auto"/>
        </w:rPr>
        <w:t>Cost of subscriptions and licenses includes salaries and other related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customers using cloud deployed hosted solutions and those using our SELECT program. Cost of services includes salaries for internal and third-party personnel and related overhead costs, including depreciation of property and equipment, for providing training, implementation, configuration, and customization services to customers, amortization of capitalized software costs, and related out-of-pocket expenses incurred.</w:t>
      </w:r>
    </w:p>
    <w:p>
      <w:pPr>
        <w:spacing w:after="0" w:line="121"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are recorded at cost less accumulated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34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 life</w:t>
            </w:r>
          </w:p>
        </w:tc>
      </w:tr>
      <w:tr>
        <w:trPr>
          <w:trHeight w:val="23"/>
        </w:trPr>
        <w:tc>
          <w:tcPr>
            <w:tcW w:w="47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76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rPr>
              <w:t>25 years</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5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2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1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-839470</wp:posOffset>
            </wp:positionV>
            <wp:extent cx="434594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24"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5" w:lineRule="exact"/>
        <w:rPr>
          <w:sz w:val="20"/>
          <w:szCs w:val="20"/>
          <w:color w:val="auto"/>
        </w:rPr>
      </w:pPr>
    </w:p>
    <w:p>
      <w:pPr>
        <w:ind w:left="1260" w:right="6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Intangibles — </w:t>
      </w:r>
      <w:r>
        <w:rPr>
          <w:rFonts w:ascii="Times New Roman" w:cs="Times New Roman" w:eastAsia="Times New Roman" w:hAnsi="Times New Roman"/>
          <w:sz w:val="18"/>
          <w:szCs w:val="18"/>
          <w:color w:val="auto"/>
        </w:rPr>
        <w:t>Intangible assets arise from acquisitions and principally consist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trademarks, customer relationships, in-process research and development, and acquired software and technology. Intangibles, other than goodwill and in-process research and development, are amortized on a straight-line basis over their estimated useful lives, which range from three to ten years (see Note 6).</w:t>
      </w:r>
    </w:p>
    <w:p>
      <w:pPr>
        <w:spacing w:after="0" w:line="99"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or more frequently if events occur or circumstances change that would more likely than not reduce its fair value below its carrying amount. The Company operates as a single reporting unit.</w:t>
      </w:r>
    </w:p>
    <w:p>
      <w:pPr>
        <w:spacing w:after="0" w:line="112"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the Company to determine the reporting unit’s fair value and compare it to the carrying value, including goodwill, of such reporting unit. As part of the assessment, the Company may first qualitatively assess whether it is more likely than not (a likelihood of more than 50 percent) that a goodwill impairment exists. In evaluating whether it is more likely than not that a goodwill impairment exists, the Company considers the factors identified in ASC 350,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The Company also considers whether there are significant differences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the estimated fair value of its assets and liabilities, and the existence of significant unrecognized intangible assets. Based upon the Company’s most recent annual impairment assessment completed as of October 1, 2019, it is not more likely than not that a goodwill impairment exists. There was no impairment of goodwill as a result of the Company’s annual impairment assessments conducted during the years ended December 31, 2018 or 2019.</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Long-Lived Assets — </w:t>
      </w:r>
      <w:r>
        <w:rPr>
          <w:rFonts w:ascii="Times New Roman" w:cs="Times New Roman" w:eastAsia="Times New Roman" w:hAnsi="Times New Roman"/>
          <w:sz w:val="18"/>
          <w:szCs w:val="18"/>
          <w:color w:val="auto"/>
        </w:rPr>
        <w:t>The Company evaluates the recoverability of long-lived assets, such as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equipment and amortizable intangible assets, in accordance with authoritative guidance on accounting for the impairment or disposal of long-lived assets, which includes evaluating long-lived assets for impairment whenever events or changes in circumstances indicate that the carrying value of these assets may not be recoverable. If circumstances require a long-lived asset to be tested for possible impairment, the Company first compares the undiscounted cash flows expected to be generated by that asset to its carrying value. If the carrying value of the long-lived asset is not recoverable on an undiscounted cash flow basis, an impairment is recognized to the extent that the carrying value exceeds its fair value. No impairment of long-lived assets occurred during the years ended December 31, 2018 or 2019.</w:t>
      </w:r>
    </w:p>
    <w:p>
      <w:pPr>
        <w:spacing w:after="0" w:line="107"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 </w:t>
      </w:r>
      <w:r>
        <w:rPr>
          <w:rFonts w:ascii="Times New Roman" w:cs="Times New Roman" w:eastAsia="Times New Roman" w:hAnsi="Times New Roman"/>
          <w:sz w:val="18"/>
          <w:szCs w:val="18"/>
          <w:color w:val="auto"/>
        </w:rPr>
        <w:t>Research and development expenses, which are generally expensed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primarily consist of personnel and related costs of our research and development staff, including salaries, benefits, bonuses, stock-based compensation, and costs of certain third-party contractors, as well as allocated overhead costs. The Company expenses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12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Company capitalizes certain development costs related to certain projects under its Accelerated Commercial Development Program (the Company’s structured approach to an in-house business incubator function)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high-risk development issues. Once the software is ready for its intended use, amortization is recorded over the software’s estimated useful life (generally three years). During the years ended December 31, 2018 and 2019, total costs capitalized under the Accelerated Commercial Development Program were $5,735 and $6,060, respectively. Additionally, during the years ended December 31, 2018 and 2019, total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7" w:lineRule="exact"/>
        <w:rPr>
          <w:sz w:val="20"/>
          <w:szCs w:val="20"/>
          <w:color w:val="auto"/>
        </w:rPr>
      </w:pPr>
    </w:p>
    <w:p>
      <w:pPr>
        <w:ind w:left="1260" w:right="739"/>
        <w:spacing w:after="0" w:line="268" w:lineRule="auto"/>
        <w:rPr>
          <w:sz w:val="20"/>
          <w:szCs w:val="20"/>
          <w:color w:val="auto"/>
        </w:rPr>
      </w:pPr>
      <w:r>
        <w:rPr>
          <w:rFonts w:ascii="Times New Roman" w:cs="Times New Roman" w:eastAsia="Times New Roman" w:hAnsi="Times New Roman"/>
          <w:sz w:val="18"/>
          <w:szCs w:val="18"/>
          <w:color w:val="auto"/>
        </w:rPr>
        <w:t xml:space="preserve">Accelerated Commercial Development Program related amortization recorded in </w:t>
      </w:r>
      <w:r>
        <w:rPr>
          <w:rFonts w:ascii="Times New Roman" w:cs="Times New Roman" w:eastAsia="Times New Roman" w:hAnsi="Times New Roman"/>
          <w:sz w:val="18"/>
          <w:szCs w:val="18"/>
          <w:i w:val="1"/>
          <w:iCs w:val="1"/>
          <w:color w:val="auto"/>
        </w:rPr>
        <w:t>Costs of subscriptions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licenses </w:t>
      </w:r>
      <w:r>
        <w:rPr>
          <w:rFonts w:ascii="Times New Roman" w:cs="Times New Roman" w:eastAsia="Times New Roman" w:hAnsi="Times New Roman"/>
          <w:sz w:val="18"/>
          <w:szCs w:val="18"/>
          <w:color w:val="auto"/>
        </w:rPr>
        <w:t>was $2,052 and $3,516, respectively.</w:t>
      </w:r>
    </w:p>
    <w:p>
      <w:pPr>
        <w:spacing w:after="0" w:line="8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Certain costs related to the creation of foreign language translations are capitalized and amortized over the economic life of the software.</w:t>
      </w:r>
    </w:p>
    <w:p>
      <w:pPr>
        <w:spacing w:after="0" w:line="91" w:lineRule="exact"/>
        <w:rPr>
          <w:sz w:val="20"/>
          <w:szCs w:val="20"/>
          <w:color w:val="auto"/>
        </w:rPr>
      </w:pPr>
    </w:p>
    <w:p>
      <w:pPr>
        <w:ind w:left="1260" w:right="9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Expense — </w:t>
      </w:r>
      <w:r>
        <w:rPr>
          <w:rFonts w:ascii="Times New Roman" w:cs="Times New Roman" w:eastAsia="Times New Roman" w:hAnsi="Times New Roman"/>
          <w:sz w:val="18"/>
          <w:szCs w:val="18"/>
          <w:color w:val="auto"/>
        </w:rPr>
        <w:t>The Company expenses advertising costs as incurred. Advertising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$2,378 and $1,579 is included in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 in the accompanying consolidated statements of operations for the years ended December 31, 2018 and 2019, respectively.</w:t>
      </w:r>
    </w:p>
    <w:p>
      <w:pPr>
        <w:spacing w:after="0" w:line="104" w:lineRule="exact"/>
        <w:rPr>
          <w:sz w:val="20"/>
          <w:szCs w:val="20"/>
          <w:color w:val="auto"/>
        </w:rPr>
      </w:pPr>
    </w:p>
    <w:p>
      <w:pPr>
        <w:ind w:left="1260" w:right="95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 </w:t>
      </w:r>
      <w:r>
        <w:rPr>
          <w:rFonts w:ascii="Times New Roman" w:cs="Times New Roman" w:eastAsia="Times New Roman" w:hAnsi="Times New Roman"/>
          <w:sz w:val="18"/>
          <w:szCs w:val="18"/>
          <w:color w:val="auto"/>
        </w:rPr>
        <w:t>The Company recognizes deferred income tax assets and liabilities for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of net operating loss 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10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 xml:space="preserve">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Interest expense and penalties are included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w:t>
      </w:r>
    </w:p>
    <w:p>
      <w:pPr>
        <w:spacing w:after="0" w:line="320"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Tax Reform — </w:t>
      </w:r>
      <w:r>
        <w:rPr>
          <w:rFonts w:ascii="Times New Roman" w:cs="Times New Roman" w:eastAsia="Times New Roman" w:hAnsi="Times New Roman"/>
          <w:sz w:val="18"/>
          <w:szCs w:val="18"/>
          <w:color w:val="auto"/>
        </w:rPr>
        <w:t>On December 22, 2017, the Tax Cuts and Jobs Act (the “Act” or “U.S. tax reform”)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has completed its accounting for the effects of the Act in 2018 and has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w:t>
      </w:r>
    </w:p>
    <w:p>
      <w:pPr>
        <w:spacing w:after="0" w:line="111" w:lineRule="exact"/>
        <w:rPr>
          <w:sz w:val="20"/>
          <w:szCs w:val="20"/>
          <w:color w:val="auto"/>
        </w:rPr>
      </w:pPr>
    </w:p>
    <w:p>
      <w:pPr>
        <w:ind w:left="1260" w:right="85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 </w:t>
      </w:r>
      <w:r>
        <w:rPr>
          <w:rFonts w:ascii="Times New Roman" w:cs="Times New Roman" w:eastAsia="Times New Roman" w:hAnsi="Times New Roman"/>
          <w:sz w:val="18"/>
          <w:szCs w:val="18"/>
          <w:color w:val="auto"/>
        </w:rPr>
        <w:t>Operating segments are defined as components of an enterprise about which separate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is evaluated regularly by the chief 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United States and its wholly-owned branches and subsidiaries internationally.</w:t>
      </w:r>
    </w:p>
    <w:p>
      <w:pPr>
        <w:spacing w:after="0" w:line="102"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 </w:t>
      </w:r>
      <w:r>
        <w:rPr>
          <w:rFonts w:ascii="Times New Roman" w:cs="Times New Roman" w:eastAsia="Times New Roman" w:hAnsi="Times New Roman"/>
          <w:sz w:val="18"/>
          <w:szCs w:val="18"/>
          <w:color w:val="auto"/>
        </w:rPr>
        <w:t>Gains and losses resulting from foreign currency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denominated in currencies other than the functional currency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(see Note 20).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in the consolidated statements of comprehensive income.</w:t>
      </w:r>
    </w:p>
    <w:p>
      <w:pPr>
        <w:spacing w:after="0" w:line="115" w:lineRule="exact"/>
        <w:rPr>
          <w:sz w:val="20"/>
          <w:szCs w:val="20"/>
          <w:color w:val="auto"/>
        </w:rPr>
      </w:pPr>
    </w:p>
    <w:p>
      <w:pPr>
        <w:ind w:left="1260" w:right="79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 </w:t>
      </w:r>
      <w:r>
        <w:rPr>
          <w:rFonts w:ascii="Times New Roman" w:cs="Times New Roman" w:eastAsia="Times New Roman" w:hAnsi="Times New Roman"/>
          <w:sz w:val="18"/>
          <w:szCs w:val="18"/>
          <w:color w:val="auto"/>
        </w:rPr>
        <w:t>Financial instruments that potentially subject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concentration of credit risk consist primarily of its cash and cash equivalents and receivables. To reduce credit risk, the Company performs ongoing credit evaluations of its customers and limits the amount of credit extended when deemed necessary. Generally, the Company requires no collateral from its customers.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9" w:lineRule="exact"/>
        <w:rPr>
          <w:sz w:val="20"/>
          <w:szCs w:val="20"/>
          <w:color w:val="auto"/>
        </w:rPr>
      </w:pPr>
    </w:p>
    <w:p>
      <w:pPr>
        <w:ind w:left="1260" w:right="859"/>
        <w:spacing w:after="0" w:line="245" w:lineRule="auto"/>
        <w:rPr>
          <w:sz w:val="20"/>
          <w:szCs w:val="20"/>
          <w:color w:val="auto"/>
        </w:rPr>
      </w:pPr>
      <w:r>
        <w:rPr>
          <w:rFonts w:ascii="Times New Roman" w:cs="Times New Roman" w:eastAsia="Times New Roman" w:hAnsi="Times New Roman"/>
          <w:sz w:val="18"/>
          <w:szCs w:val="18"/>
          <w:color w:val="auto"/>
        </w:rPr>
        <w:t>Company maintains an allowance for potential credit losses, but historically has not experienced any significant losses related to individual customers or groups of customers in any particular industry or geographic area. No single customer accounted for more than 2.5% of the Company’s revenue in the years ended December 31, 2018 or 2019.</w:t>
      </w:r>
    </w:p>
    <w:p>
      <w:pPr>
        <w:spacing w:after="0" w:line="10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91" w:lineRule="exact"/>
        <w:rPr>
          <w:sz w:val="20"/>
          <w:szCs w:val="20"/>
          <w:color w:val="auto"/>
        </w:rPr>
      </w:pPr>
    </w:p>
    <w:p>
      <w:pPr>
        <w:ind w:left="1260" w:right="79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Joint Venture — </w:t>
      </w:r>
      <w:r>
        <w:rPr>
          <w:rFonts w:ascii="Times New Roman" w:cs="Times New Roman" w:eastAsia="Times New Roman" w:hAnsi="Times New Roman"/>
          <w:sz w:val="18"/>
          <w:szCs w:val="18"/>
          <w:color w:val="auto"/>
        </w:rPr>
        <w:t>The Company is party to a joint venture which is accounted for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method. The Company applies the equity method to investments in which its ownership interest is</w:t>
      </w:r>
    </w:p>
    <w:p>
      <w:pPr>
        <w:spacing w:after="0" w:line="1" w:lineRule="exact"/>
        <w:rPr>
          <w:sz w:val="20"/>
          <w:szCs w:val="20"/>
          <w:color w:val="auto"/>
        </w:rPr>
      </w:pPr>
    </w:p>
    <w:p>
      <w:pPr>
        <w:ind w:left="1260" w:right="719"/>
        <w:spacing w:after="0" w:line="238" w:lineRule="auto"/>
        <w:rPr>
          <w:sz w:val="20"/>
          <w:szCs w:val="20"/>
          <w:color w:val="auto"/>
        </w:rPr>
      </w:pPr>
      <w:r>
        <w:rPr>
          <w:rFonts w:ascii="Times New Roman" w:cs="Times New Roman" w:eastAsia="Times New Roman" w:hAnsi="Times New Roman"/>
          <w:sz w:val="18"/>
          <w:szCs w:val="18"/>
          <w:color w:val="auto"/>
        </w:rPr>
        <w:t>50 percent or less and in which it exercises significant influence over operating and financial policies of the investee. Under the equity method, original investments are recorded at cost and adjusted by the Company’s share of undistributed earnings and losses of these investments. The joint venture is not material to the Company’s financial results (see Note 7).</w:t>
      </w:r>
    </w:p>
    <w:p>
      <w:pPr>
        <w:spacing w:after="0" w:line="113" w:lineRule="exact"/>
        <w:rPr>
          <w:sz w:val="20"/>
          <w:szCs w:val="20"/>
          <w:color w:val="auto"/>
        </w:rPr>
      </w:pPr>
    </w:p>
    <w:p>
      <w:pPr>
        <w:ind w:left="1260" w:right="9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Allowance for Doubtful Accounts — </w:t>
      </w:r>
      <w:r>
        <w:rPr>
          <w:rFonts w:ascii="Times New Roman" w:cs="Times New Roman" w:eastAsia="Times New Roman" w:hAnsi="Times New Roman"/>
          <w:sz w:val="18"/>
          <w:szCs w:val="18"/>
          <w:color w:val="auto"/>
        </w:rPr>
        <w:t>Accounts receivable represent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customers for products and services invoiced by the Company for which payment is outstanding. Receivables are recorded at the invoiced amount and do not bear interest.</w:t>
      </w:r>
    </w:p>
    <w:p>
      <w:pPr>
        <w:spacing w:after="0" w:line="95"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estimated losses expected during the accounts receivable collection process. The allowance for doubtful accounts reduces the accounts receivable balance to the net realizable value of the outstanding accounts and installment receivables. The development of the allowance for doubtful accounts is based on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considers current economic trends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was as follows:</w:t>
      </w:r>
    </w:p>
    <w:p>
      <w:pPr>
        <w:spacing w:after="0" w:line="17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$7,611</w:t>
            </w:r>
          </w:p>
        </w:tc>
        <w:tc>
          <w:tcPr>
            <w:tcW w:w="60" w:type="dxa"/>
            <w:vAlign w:val="bottom"/>
          </w:tcPr>
          <w:p>
            <w:pPr>
              <w:spacing w:after="0"/>
              <w:rPr>
                <w:sz w:val="21"/>
                <w:szCs w:val="21"/>
                <w:color w:val="auto"/>
              </w:rPr>
            </w:pPr>
          </w:p>
        </w:tc>
      </w:tr>
      <w:tr>
        <w:trPr>
          <w:trHeight w:val="257"/>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Allowances (recoveries) recorded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63"/>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2"/>
                <w:szCs w:val="22"/>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$7,274</w:t>
            </w:r>
          </w:p>
        </w:tc>
        <w:tc>
          <w:tcPr>
            <w:tcW w:w="60" w:type="dxa"/>
            <w:vAlign w:val="bottom"/>
          </w:tcPr>
          <w:p>
            <w:pPr>
              <w:spacing w:after="0"/>
              <w:rPr>
                <w:sz w:val="22"/>
                <w:szCs w:val="22"/>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4234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87" w:lineRule="exact"/>
        <w:rPr>
          <w:sz w:val="20"/>
          <w:szCs w:val="20"/>
          <w:color w:val="auto"/>
        </w:rPr>
      </w:pPr>
    </w:p>
    <w:p>
      <w:pPr>
        <w:ind w:left="1260" w:right="75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 </w:t>
      </w:r>
      <w:r>
        <w:rPr>
          <w:rFonts w:ascii="Times New Roman" w:cs="Times New Roman" w:eastAsia="Times New Roman" w:hAnsi="Times New Roman"/>
          <w:sz w:val="18"/>
          <w:szCs w:val="18"/>
          <w:color w:val="auto"/>
        </w:rPr>
        <w:t>The Company records all stock-based compensation as an expense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14).</w:t>
      </w:r>
    </w:p>
    <w:p>
      <w:pPr>
        <w:spacing w:after="0" w:line="332" w:lineRule="exact"/>
        <w:rPr>
          <w:sz w:val="20"/>
          <w:szCs w:val="20"/>
          <w:color w:val="auto"/>
        </w:rPr>
      </w:pPr>
    </w:p>
    <w:p>
      <w:pPr>
        <w:ind w:left="1260" w:right="8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 </w:t>
      </w:r>
      <w:r>
        <w:rPr>
          <w:rFonts w:ascii="Times New Roman" w:cs="Times New Roman" w:eastAsia="Times New Roman" w:hAnsi="Times New Roman"/>
          <w:sz w:val="18"/>
          <w:szCs w:val="18"/>
          <w:color w:val="auto"/>
        </w:rPr>
        <w:t>The Company’s software license agreements typically provide for indemnification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for intellectual property infringement claims. The Company also warrants to customers, when requested, that its software products operate substantially in accordance with standard specifications for a</w:t>
      </w:r>
    </w:p>
    <w:p>
      <w:pPr>
        <w:sectPr>
          <w:pgSz w:w="11900" w:h="16838" w:orient="portrait"/>
          <w:cols w:equalWidth="0" w:num="1">
            <w:col w:w="10139"/>
          </w:cols>
          <w:pgMar w:left="320" w:top="114"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9"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warranty-related obligations.</w:t>
      </w:r>
    </w:p>
    <w:p>
      <w:pPr>
        <w:spacing w:after="0" w:line="95"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Arrangements — </w:t>
      </w:r>
      <w:r>
        <w:rPr>
          <w:rFonts w:ascii="Times New Roman" w:cs="Times New Roman" w:eastAsia="Times New Roman" w:hAnsi="Times New Roman"/>
          <w:sz w:val="18"/>
          <w:szCs w:val="18"/>
          <w:color w:val="auto"/>
        </w:rPr>
        <w:t>The Company records derivative instruments as an asset or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 (see Note 16).</w:t>
      </w:r>
    </w:p>
    <w:p>
      <w:pPr>
        <w:spacing w:after="0" w:line="33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 </w:t>
      </w:r>
      <w:r>
        <w:rPr>
          <w:rFonts w:ascii="Times New Roman" w:cs="Times New Roman" w:eastAsia="Times New Roman" w:hAnsi="Times New Roman"/>
          <w:sz w:val="18"/>
          <w:szCs w:val="18"/>
          <w:color w:val="auto"/>
        </w:rPr>
        <w:t>The Company categorizes its assets and liabilities measured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three-level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 (see Note 16).</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6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2018-15, Intangibles — Goodwill and Other — Internal-Use Software (Subtopic 350-40): </w:t>
      </w:r>
      <w:r>
        <w:rPr>
          <w:rFonts w:ascii="Times New Roman" w:cs="Times New Roman" w:eastAsia="Times New Roman" w:hAnsi="Times New Roman"/>
          <w:sz w:val="18"/>
          <w:szCs w:val="18"/>
          <w:i w:val="1"/>
          <w:iCs w:val="1"/>
          <w:color w:val="auto"/>
        </w:rPr>
        <w:t>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the accounting for 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109"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Fair Value Measurement (Topic 820):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Fair Value Measurement</w:t>
      </w:r>
      <w:r>
        <w:rPr>
          <w:rFonts w:ascii="Times New Roman" w:cs="Times New Roman" w:eastAsia="Times New Roman" w:hAnsi="Times New Roman"/>
          <w:sz w:val="18"/>
          <w:szCs w:val="18"/>
          <w:color w:val="auto"/>
        </w:rPr>
        <w:t>. ASU 2018-13 modifies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required disclosures and establishes new requirements related to fair value measurement.</w:t>
      </w:r>
    </w:p>
    <w:p>
      <w:pPr>
        <w:spacing w:after="0" w:line="1" w:lineRule="exact"/>
        <w:rPr>
          <w:sz w:val="20"/>
          <w:szCs w:val="20"/>
          <w:color w:val="auto"/>
        </w:rPr>
      </w:pPr>
    </w:p>
    <w:p>
      <w:pPr>
        <w:ind w:left="1260" w:right="819"/>
        <w:spacing w:after="0" w:line="252" w:lineRule="auto"/>
        <w:rPr>
          <w:sz w:val="20"/>
          <w:szCs w:val="20"/>
          <w:color w:val="auto"/>
        </w:rPr>
      </w:pPr>
      <w:r>
        <w:rPr>
          <w:rFonts w:ascii="Times New Roman" w:cs="Times New Roman" w:eastAsia="Times New Roman" w:hAnsi="Times New Roman"/>
          <w:sz w:val="18"/>
          <w:szCs w:val="18"/>
          <w:color w:val="auto"/>
        </w:rPr>
        <w:t>Additionally, the disclosure requirement to state the reasons for transfers between Level 1 and Level 2, the policy for timing transfers between levels, and the valuation process for Level 3 measurements have been removed. The ASU is effective for the Company for the annual period beginning after December 15, 2019, including interim periods within that annual period. Early adoption is permitted. The Company does not believe the adoption of this guidance will have a material impact on the Company’s consolidated results of operations and financial position.</w:t>
      </w:r>
    </w:p>
    <w:p>
      <w:pPr>
        <w:spacing w:after="0" w:line="12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removes Step 2 of the goodwill impairment test.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8" w:name="page229"/>
    <w:bookmarkEnd w:id="22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including adoption in an interim period. The Company does not believe that this ASU will have a material impact on the Company’s consolidated results of operations and financial position.</w:t>
      </w:r>
    </w:p>
    <w:p>
      <w:pPr>
        <w:spacing w:after="0" w:line="81"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Financial Instruments — Credit Losses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Current guidance requires the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to be estimated based on an incurred loss model, which considers past and current conditions. ASU 2016-13 requires companies to use an expected loss model that also considers reasonable and supportable forecasts of future conditions. ASU 2016-13 is effective for the Company for the annual period beginning after December 15, 2020, including interim periods within that annual period. Early adoption is permitted. The Company plans to adopt ASU 2016-13 as of January 1, 2020 and does not believe the adoption of this guidance will have a material impact on the Company’s consolidated results of operations and financial position.</w:t>
      </w:r>
    </w:p>
    <w:p>
      <w:pPr>
        <w:spacing w:after="0" w:line="33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The new standard is effective for the Company for the fiscal year beginning after December 15, 2020, including interim periods within the fiscal year beginning after December 15, 2020. Early adoption is permitted.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2018-20, </w:t>
      </w:r>
      <w:r>
        <w:rPr>
          <w:rFonts w:ascii="Times New Roman" w:cs="Times New Roman" w:eastAsia="Times New Roman" w:hAnsi="Times New Roman"/>
          <w:sz w:val="18"/>
          <w:szCs w:val="18"/>
          <w:i w:val="1"/>
          <w:iCs w:val="1"/>
          <w:color w:val="auto"/>
        </w:rPr>
        <w:t>Narrow-Scope Improvements for Lessors</w:t>
      </w:r>
      <w:r>
        <w:rPr>
          <w:rFonts w:ascii="Times New Roman" w:cs="Times New Roman" w:eastAsia="Times New Roman" w:hAnsi="Times New Roman"/>
          <w:sz w:val="18"/>
          <w:szCs w:val="18"/>
          <w:color w:val="auto"/>
        </w:rPr>
        <w:t>. These ASUs do not change the core principle of the guidance in ASU 2016-02. Instead, these amendments are intended to clarify and improve operability of certain topics included within the lease standard. These ASUs will have the same effective date and transition requirements as ASU 2016-02.</w:t>
      </w:r>
    </w:p>
    <w:p>
      <w:pPr>
        <w:spacing w:after="0" w:line="338"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Company will adopt Topic 842 as of January 1, 2020 using the modified retrospective method for all existing leases. Upon adoption, the Company is required to recognize its lease assets and its lease liabilities measured by taking the present value of all future fixed lease payments discounted using the Company’s incremental borrowing rate.</w:t>
      </w:r>
    </w:p>
    <w:p>
      <w:pPr>
        <w:spacing w:after="0" w:line="99"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Company has elected to opt for the package of practical expedients and to not reassess whether any existing contracts are leases or contain a lease, the lease classification of existing leases, and initial direct costs for existing leases. Additionally, the Company has elected the practical expedients to combine lease and non-lease components for new leases post adoption and to not recognize lease assets and lease liabilities for leases with a term of 12 months or less.</w:t>
      </w:r>
    </w:p>
    <w:p>
      <w:pPr>
        <w:spacing w:after="0" w:line="11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adoption of Topic 842 will materially increase the Company’s total assets and total liabilities as compared to amounts reported prior to adoption. Upon adoption, the Company expects to recognize right of use assets of approximately $46,000 and lease liabilities of approximately $48,000 calculated based on the present value of the remaining minimum lease payments as of the adoption date. Topic 842 is not expected to have a material impact to the Company’s consolidated statement of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58"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2016-15 — </w:t>
      </w:r>
      <w:r>
        <w:rPr>
          <w:rFonts w:ascii="Times New Roman" w:cs="Times New Roman" w:eastAsia="Times New Roman" w:hAnsi="Times New Roman"/>
          <w:sz w:val="18"/>
          <w:szCs w:val="18"/>
          <w:color w:val="auto"/>
        </w:rPr>
        <w:t>In August 2016, the FASB issued ASU No. 2016-15, Statement of Cash Flows (Topic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ASU 2016-15 addresses eight specific cash flow issues with the objective of reducing diversity in how certain cash receipts and cash payments are presented and classified in the statement of cash flows. The Company adopted the standard effective</w:t>
      </w:r>
    </w:p>
    <w:p>
      <w:pPr>
        <w:sectPr>
          <w:pgSz w:w="11900" w:h="16838" w:orient="portrait"/>
          <w:cols w:equalWidth="0" w:num="1">
            <w:col w:w="10139"/>
          </w:cols>
          <w:pgMar w:left="320" w:top="114"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January 1, 2019. The adoption of this ASU did not have a material impact on the Company’s consolidated statements of cash flows.</w:t>
      </w:r>
    </w:p>
    <w:p>
      <w:pPr>
        <w:spacing w:after="0" w:line="77"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2016-16 — </w:t>
      </w:r>
      <w:r>
        <w:rPr>
          <w:rFonts w:ascii="Times New Roman" w:cs="Times New Roman" w:eastAsia="Times New Roman" w:hAnsi="Times New Roman"/>
          <w:sz w:val="18"/>
          <w:szCs w:val="18"/>
          <w:color w:val="auto"/>
        </w:rPr>
        <w:t>In October 2016, the FASB issued ASU No. 2016-16,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Intra-Entity Transfer of Assets Other than Inventory</w:t>
      </w:r>
      <w:r>
        <w:rPr>
          <w:rFonts w:ascii="Times New Roman" w:cs="Times New Roman" w:eastAsia="Times New Roman" w:hAnsi="Times New Roman"/>
          <w:sz w:val="18"/>
          <w:szCs w:val="18"/>
          <w:color w:val="auto"/>
        </w:rPr>
        <w:t>, which requires the recognition of the income tax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intra-entity transfer of an asset, other than inventory, when the transfer occurs, eliminating an exception under previous U.S. GAAP in which the tax effects of intra-entity asset transfers were deferred until the transferred asset is sold to a third party or otherwise recovered through use. The Company adopted this standard effective January 1, 2018 by applying the required modified retrospective approach with a cumulative-effect adjustment to retained earnings of certain previously deferred tax benefits. Accordingly, a cumulative-effect adjustment on deferred tax expense of $379 was recorded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during the year ended December 31, 2018.</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foreign subsidiaries. The sales resulted in a 2018 net tax benefit of $46,369. For the year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December 31, 2018, the impact of adopting ASU 2016-16 resulted in a reduction of $45,596 in </w:t>
      </w:r>
      <w:r>
        <w:rPr>
          <w:rFonts w:ascii="Times New Roman" w:cs="Times New Roman" w:eastAsia="Times New Roman" w:hAnsi="Times New Roman"/>
          <w:sz w:val="18"/>
          <w:szCs w:val="18"/>
          <w:i w:val="1"/>
          <w:iCs w:val="1"/>
          <w:color w:val="auto"/>
        </w:rPr>
        <w:t>Provision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well as a $45,596 increase in</w:t>
      </w:r>
      <w:r>
        <w:rPr>
          <w:rFonts w:ascii="Times New Roman" w:cs="Times New Roman" w:eastAsia="Times New Roman" w:hAnsi="Times New Roman"/>
          <w:sz w:val="18"/>
          <w:szCs w:val="18"/>
          <w:i w:val="1"/>
          <w:iCs w:val="1"/>
          <w:color w:val="auto"/>
        </w:rPr>
        <w:t xml:space="preserve"> Deferred income taxes </w:t>
      </w:r>
      <w:r>
        <w:rPr>
          <w:rFonts w:ascii="Times New Roman" w:cs="Times New Roman" w:eastAsia="Times New Roman" w:hAnsi="Times New Roman"/>
          <w:sz w:val="18"/>
          <w:szCs w:val="18"/>
          <w:color w:val="auto"/>
        </w:rPr>
        <w:t>(asset) and</w:t>
      </w:r>
      <w:r>
        <w:rPr>
          <w:rFonts w:ascii="Times New Roman" w:cs="Times New Roman" w:eastAsia="Times New Roman" w:hAnsi="Times New Roman"/>
          <w:sz w:val="18"/>
          <w:szCs w:val="18"/>
          <w:i w:val="1"/>
          <w:iCs w:val="1"/>
          <w:color w:val="auto"/>
        </w:rPr>
        <w:t xml:space="preserve"> Net income</w:t>
      </w:r>
      <w:r>
        <w:rPr>
          <w:rFonts w:ascii="Times New Roman" w:cs="Times New Roman" w:eastAsia="Times New Roman" w:hAnsi="Times New Roman"/>
          <w:sz w:val="18"/>
          <w:szCs w:val="18"/>
          <w:color w:val="auto"/>
        </w:rPr>
        <w:t>, compared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the Company would have recognized under previous U.S. GAAP. Furthermore, the impact of adoption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resulted in a $0.16 increase in both basic and diluted earnings per share for the year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w:t>
      </w:r>
    </w:p>
    <w:p>
      <w:pPr>
        <w:spacing w:after="0" w:line="135"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w:t>
      </w:r>
      <w:r>
        <w:rPr>
          <w:rFonts w:ascii="Times New Roman" w:cs="Times New Roman" w:eastAsia="Times New Roman" w:hAnsi="Times New Roman"/>
          <w:sz w:val="18"/>
          <w:szCs w:val="18"/>
          <w:color w:val="auto"/>
        </w:rPr>
        <w:t>On January 1, 2019, the Company adopted Topic 606, which supersedes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substantially all existing revenue recognition guidance under U.S. GAAP. The Company adopted Topic 606 using the modified retrospective method, under which the cumulative effect of initially applying Topic 606 of $125,464 ($101,489, net of tax) was recorded as a cumulative decrease to the opening balance of </w:t>
      </w:r>
      <w:r>
        <w:rPr>
          <w:rFonts w:ascii="Times New Roman" w:cs="Times New Roman" w:eastAsia="Times New Roman" w:hAnsi="Times New Roman"/>
          <w:sz w:val="18"/>
          <w:szCs w:val="18"/>
          <w:i w:val="1"/>
          <w:iCs w:val="1"/>
          <w:color w:val="auto"/>
        </w:rPr>
        <w:t xml:space="preserve">Accumulated deficit </w:t>
      </w:r>
      <w:r>
        <w:rPr>
          <w:rFonts w:ascii="Times New Roman" w:cs="Times New Roman" w:eastAsia="Times New Roman" w:hAnsi="Times New Roman"/>
          <w:sz w:val="18"/>
          <w:szCs w:val="18"/>
          <w:color w:val="auto"/>
        </w:rPr>
        <w:t>as of January 1, 2019. The Company applied the standard only to contracts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completed as of the date of initial application. The comparative information has not been adjusted and continues to be reported under Topic 605.</w:t>
      </w:r>
    </w:p>
    <w:p>
      <w:pPr>
        <w:spacing w:after="0" w:line="10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The core principle of Topic 606 is to recognize revenue when promised goods or services are transferred to a customer in an amount that reflects the consideration that is expected to be received for those goods or services. Under the new guidance, the Company is required to evaluate revenue recognition through a five-step process: (1) identify a contract with a customer; (2) identify the performance obligations in the contract; (3) determine the transaction price; (4) allocate the transaction price to the performance obligations in the contract; and (5) recognize revenue when (or as) the Company satisfies a performance obligation. The standard also requires disclosure of the nature, amount, timing, and uncertainty of revenue and cash flows arising from contracts with customers. In applying the principles of Topic 606, more judgment and estimates are required within the revenue recognition process than was required under previous U.S. GAAP, including identifying performance obligations, estimating the amount of variable consideration to include in the transaction price, and estimating the value of each performance obligation to allocate the total transaction price to each separate performance obligation.</w:t>
      </w:r>
    </w:p>
    <w:p>
      <w:pPr>
        <w:spacing w:after="0" w:line="12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most significant impact to the Company resulting from the adoption of Topic 606 relates to timing of revenue recognition for perpetual licenses and the accounting for certain of the Company’s subscription arrangements that include term-based software licenses bundled with support. Under prior guidance, revenue for perpetual licenses was recognized ratably over a three-year period, while revenue attributable to the term-based software licenses was recognized ratably over the term. Under Topic 606, both perpetual license and term-based software license revenue will be recognized up-front upon delivery of the software license. Revenue recognition related to support, hosting, usage-based offerings, and services is substantially unchanged, with support and hosting revenue recorded ratably over the contract term, usage-based revenue recognized upon usage or delivery, and services revenue as delivered.</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5"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Costs to Obtain a Contract with a Customer — </w:t>
      </w:r>
      <w:r>
        <w:rPr>
          <w:rFonts w:ascii="Times New Roman" w:cs="Times New Roman" w:eastAsia="Times New Roman" w:hAnsi="Times New Roman"/>
          <w:sz w:val="18"/>
          <w:szCs w:val="18"/>
          <w:color w:val="auto"/>
        </w:rPr>
        <w:t>With the adoption of Topic 606, the Company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adopted ASC Topic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xml:space="preserve"> (Topic 340-40). Prior to the adoption of Topic 340-40, the Company previously recognized compensation paid to sales employees and certain channel partners related to obtaining customer contracts when incurred. Under Topic 340-40, 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 Under the modified retrospective method, the Company recorded a cumulative decrease of $7,734 ($6,333, net of tax)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The comparative information has not been adjusted and continues to be reported as incurred.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Quantitative Effect of Topics 606 and 340-40 Adoption</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reported consolidated balance sheet and statements of operations, as of and for the year ended December 31, 2019, to the amounts had Topic 605 been in effect.</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7"/>
        </w:trPr>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 606 and</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Topic 340-40</w:t>
            </w:r>
          </w:p>
        </w:tc>
        <w:tc>
          <w:tcPr>
            <w:tcW w:w="2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4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121,101</w:t>
            </w:r>
          </w:p>
        </w:tc>
        <w:tc>
          <w:tcPr>
            <w:tcW w:w="40" w:type="dxa"/>
            <w:vAlign w:val="bottom"/>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204,501</w:t>
            </w: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40" w:type="dxa"/>
            <w:vAlign w:val="bottom"/>
            <w:shd w:val="clear" w:color="auto" w:fill="CCEEFF"/>
          </w:tcPr>
          <w:p>
            <w:pPr>
              <w:spacing w:after="0"/>
              <w:rPr>
                <w:sz w:val="22"/>
                <w:szCs w:val="22"/>
                <w:color w:val="auto"/>
              </w:rPr>
            </w:pPr>
          </w:p>
        </w:tc>
      </w:tr>
      <w:tr>
        <w:trPr>
          <w:trHeight w:val="310"/>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40" w:type="dxa"/>
            <w:vAlign w:val="bottom"/>
            <w:tcBorders>
              <w:bottom w:val="single" w:sz="8" w:color="CCEEFF"/>
            </w:tcBorders>
          </w:tcPr>
          <w:p>
            <w:pPr>
              <w:spacing w:after="0"/>
              <w:rPr>
                <w:sz w:val="24"/>
                <w:szCs w:val="24"/>
                <w:color w:val="auto"/>
              </w:rPr>
            </w:pPr>
          </w:p>
        </w:tc>
      </w:tr>
      <w:tr>
        <w:trPr>
          <w:trHeight w:val="25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353,558</w:t>
            </w:r>
          </w:p>
        </w:tc>
        <w:tc>
          <w:tcPr>
            <w:tcW w:w="40" w:type="dxa"/>
            <w:vAlign w:val="bottom"/>
            <w:shd w:val="clear" w:color="auto" w:fill="CCEEFF"/>
          </w:tcPr>
          <w:p>
            <w:pPr>
              <w:spacing w:after="0"/>
              <w:rPr>
                <w:sz w:val="21"/>
                <w:szCs w:val="21"/>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40" w:type="dxa"/>
            <w:vAlign w:val="bottom"/>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480,065</w:t>
            </w:r>
          </w:p>
        </w:tc>
        <w:tc>
          <w:tcPr>
            <w:tcW w:w="40" w:type="dxa"/>
            <w:vAlign w:val="bottom"/>
          </w:tcPr>
          <w:p>
            <w:pPr>
              <w:spacing w:after="0"/>
              <w:rPr>
                <w:sz w:val="22"/>
                <w:szCs w:val="22"/>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shd w:val="clear" w:color="auto" w:fill="CCEEFF"/>
          </w:tcPr>
          <w:p>
            <w:pPr>
              <w:spacing w:after="0"/>
              <w:rPr>
                <w:sz w:val="22"/>
                <w:szCs w:val="22"/>
                <w:color w:val="auto"/>
              </w:rPr>
            </w:pPr>
          </w:p>
        </w:tc>
      </w:tr>
      <w:tr>
        <w:trPr>
          <w:trHeight w:val="25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(21,543)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40" w:type="dxa"/>
            <w:vAlign w:val="bottom"/>
          </w:tcPr>
          <w:p>
            <w:pPr>
              <w:spacing w:after="0"/>
              <w:rPr>
                <w:sz w:val="22"/>
                <w:szCs w:val="22"/>
                <w:color w:val="auto"/>
              </w:rPr>
            </w:pPr>
          </w:p>
        </w:tc>
      </w:tr>
      <w:tr>
        <w:trPr>
          <w:trHeight w:val="31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40" w:type="dxa"/>
            <w:vAlign w:val="bottom"/>
            <w:shd w:val="clear" w:color="auto" w:fill="CCEEFF"/>
          </w:tcPr>
          <w:p>
            <w:pPr>
              <w:spacing w:after="0"/>
              <w:rPr>
                <w:sz w:val="24"/>
                <w:szCs w:val="24"/>
                <w:color w:val="auto"/>
              </w:rPr>
            </w:pPr>
          </w:p>
        </w:tc>
      </w:tr>
      <w:tr>
        <w:trPr>
          <w:trHeight w:val="324"/>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1,009,044</w:t>
            </w: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c>
          <w:tcPr>
            <w:tcW w:w="2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994,599</w:t>
            </w:r>
          </w:p>
        </w:tc>
        <w:tc>
          <w:tcPr>
            <w:tcW w:w="40" w:type="dxa"/>
            <w:vAlign w:val="bottom"/>
          </w:tcPr>
          <w:p>
            <w:pPr>
              <w:spacing w:after="0"/>
              <w:rPr>
                <w:sz w:val="24"/>
                <w:szCs w:val="24"/>
                <w:color w:val="auto"/>
              </w:rPr>
            </w:pPr>
          </w:p>
        </w:tc>
      </w:tr>
      <w:tr>
        <w:trPr>
          <w:trHeight w:val="203"/>
        </w:trPr>
        <w:tc>
          <w:tcPr>
            <w:tcW w:w="4100" w:type="dxa"/>
            <w:vAlign w:val="bottom"/>
            <w:tcBorders>
              <w:top w:val="single" w:sz="8" w:color="CCEEFF"/>
            </w:tcBorders>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4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40" w:type="dxa"/>
            <w:vAlign w:val="bottom"/>
            <w:shd w:val="clear" w:color="auto" w:fill="CCEEFF"/>
          </w:tcPr>
          <w:p>
            <w:pPr>
              <w:spacing w:after="0"/>
              <w:rPr>
                <w:sz w:val="22"/>
                <w:szCs w:val="22"/>
                <w:color w:val="auto"/>
              </w:rPr>
            </w:pPr>
          </w:p>
        </w:tc>
      </w:tr>
      <w:tr>
        <w:trPr>
          <w:trHeight w:val="28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167,517</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-865505</wp:posOffset>
            </wp:positionV>
            <wp:extent cx="1714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-2047875</wp:posOffset>
            </wp:positionV>
            <wp:extent cx="171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-2047875</wp:posOffset>
            </wp:positionV>
            <wp:extent cx="20574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-2047875</wp:posOffset>
            </wp:positionV>
            <wp:extent cx="18859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-2047875</wp:posOffset>
            </wp:positionV>
            <wp:extent cx="335153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-3068320</wp:posOffset>
            </wp:positionV>
            <wp:extent cx="1371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-3068320</wp:posOffset>
            </wp:positionV>
            <wp:extent cx="1371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-3068320</wp:posOffset>
            </wp:positionV>
            <wp:extent cx="33432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1" w:name="page232"/>
    <w:bookmarkEnd w:id="23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6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Impact from</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 606 and</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r>
      <w:tr>
        <w:trPr>
          <w:trHeight w:val="190"/>
        </w:trPr>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0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8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Topic 340-40</w:t>
            </w:r>
          </w:p>
        </w:tc>
        <w:tc>
          <w:tcPr>
            <w:tcW w:w="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19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287,682</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282,070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(77,079)</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204,991</w:t>
            </w:r>
          </w:p>
        </w:tc>
        <w:tc>
          <w:tcPr>
            <w:tcW w:w="20" w:type="dxa"/>
            <w:vAlign w:val="bottom"/>
          </w:tcPr>
          <w:p>
            <w:pPr>
              <w:spacing w:after="0"/>
              <w:rPr>
                <w:sz w:val="21"/>
                <w:szCs w:val="21"/>
                <w:color w:val="auto"/>
              </w:rPr>
            </w:pPr>
          </w:p>
        </w:tc>
      </w:tr>
      <w:tr>
        <w:trPr>
          <w:trHeight w:val="263"/>
        </w:trPr>
        <w:tc>
          <w:tcPr>
            <w:tcW w:w="4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Pr>
          <w:p>
            <w:pPr>
              <w:spacing w:after="0"/>
              <w:rPr>
                <w:sz w:val="22"/>
                <w:szCs w:val="22"/>
                <w:color w:val="auto"/>
              </w:rPr>
            </w:pPr>
          </w:p>
        </w:tc>
      </w:tr>
      <w:tr>
        <w:trPr>
          <w:trHeight w:val="256"/>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467,994</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(75,581)</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392,413</w:t>
            </w:r>
          </w:p>
        </w:tc>
        <w:tc>
          <w:tcPr>
            <w:tcW w:w="20" w:type="dxa"/>
            <w:vAlign w:val="bottom"/>
          </w:tcPr>
          <w:p>
            <w:pPr>
              <w:spacing w:after="0"/>
              <w:rPr>
                <w:sz w:val="22"/>
                <w:szCs w:val="22"/>
                <w:color w:val="auto"/>
              </w:rPr>
            </w:pPr>
          </w:p>
        </w:tc>
      </w:tr>
      <w:tr>
        <w:trPr>
          <w:trHeight w:val="25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(47,967)</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0" w:type="dxa"/>
            <w:vAlign w:val="bottom"/>
          </w:tcPr>
          <w:p>
            <w:pPr>
              <w:spacing w:after="0"/>
              <w:rPr>
                <w:sz w:val="22"/>
                <w:szCs w:val="22"/>
                <w:color w:val="auto"/>
              </w:rPr>
            </w:pPr>
          </w:p>
        </w:tc>
      </w:tr>
      <w:tr>
        <w:trPr>
          <w:trHeight w:val="25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0" w:type="dxa"/>
            <w:vAlign w:val="bottom"/>
          </w:tcPr>
          <w:p>
            <w:pPr>
              <w:spacing w:after="0"/>
              <w:rPr>
                <w:sz w:val="22"/>
                <w:szCs w:val="22"/>
                <w:color w:val="auto"/>
              </w:rPr>
            </w:pPr>
          </w:p>
        </w:tc>
      </w:tr>
      <w:tr>
        <w:trPr>
          <w:trHeight w:val="263"/>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0" w:type="dxa"/>
            <w:vAlign w:val="bottom"/>
          </w:tcPr>
          <w:p>
            <w:pPr>
              <w:spacing w:after="0"/>
              <w:rPr>
                <w:sz w:val="22"/>
                <w:szCs w:val="22"/>
                <w:color w:val="auto"/>
              </w:rPr>
            </w:pPr>
          </w:p>
        </w:tc>
      </w:tr>
      <w:tr>
        <w:trPr>
          <w:trHeight w:val="263"/>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781,076</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(121,096)</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659,980</w:t>
            </w:r>
          </w:p>
        </w:tc>
        <w:tc>
          <w:tcPr>
            <w:tcW w:w="20" w:type="dxa"/>
            <w:vAlign w:val="bottom"/>
          </w:tcPr>
          <w:p>
            <w:pPr>
              <w:spacing w:after="0"/>
              <w:rPr>
                <w:sz w:val="22"/>
                <w:szCs w:val="22"/>
                <w:color w:val="auto"/>
              </w:rPr>
            </w:pPr>
          </w:p>
        </w:tc>
      </w:tr>
      <w:tr>
        <w:trPr>
          <w:trHeight w:val="257"/>
        </w:trPr>
        <w:tc>
          <w:tcPr>
            <w:tcW w:w="4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top w:val="single" w:sz="8" w:color="CCEEFF"/>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Pr>
          <w:p>
            <w:pPr>
              <w:spacing w:after="0"/>
              <w:rPr>
                <w:sz w:val="22"/>
                <w:szCs w:val="22"/>
                <w:color w:val="auto"/>
              </w:rPr>
            </w:pPr>
          </w:p>
        </w:tc>
      </w:tr>
      <w:tr>
        <w:trPr>
          <w:trHeight w:val="257"/>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(23,086)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20" w:type="dxa"/>
            <w:vAlign w:val="bottom"/>
          </w:tcPr>
          <w:p>
            <w:pPr>
              <w:spacing w:after="0"/>
              <w:rPr>
                <w:sz w:val="22"/>
                <w:szCs w:val="22"/>
                <w:color w:val="auto"/>
              </w:rPr>
            </w:pPr>
          </w:p>
        </w:tc>
      </w:tr>
      <w:tr>
        <w:trPr>
          <w:trHeight w:val="283"/>
        </w:trPr>
        <w:tc>
          <w:tcPr>
            <w:tcW w:w="410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(218,553)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(52,669)</w:t>
            </w:r>
          </w:p>
        </w:tc>
      </w:tr>
      <w:tr>
        <w:trPr>
          <w:trHeight w:val="257"/>
        </w:trPr>
        <w:tc>
          <w:tcPr>
            <w:tcW w:w="41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$ 147,431</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20" w:type="dxa"/>
            <w:vAlign w:val="bottom"/>
          </w:tcPr>
          <w:p>
            <w:pPr>
              <w:spacing w:after="0"/>
              <w:rPr>
                <w:sz w:val="22"/>
                <w:szCs w:val="22"/>
                <w:color w:val="auto"/>
              </w:rPr>
            </w:pPr>
          </w:p>
        </w:tc>
      </w:tr>
      <w:tr>
        <w:trPr>
          <w:trHeight w:val="257"/>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$ 923,596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1,009,044</w:t>
            </w:r>
          </w:p>
        </w:tc>
        <w:tc>
          <w:tcPr>
            <w:tcW w:w="22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994,599</w:t>
            </w:r>
          </w:p>
        </w:tc>
        <w:tc>
          <w:tcPr>
            <w:tcW w:w="2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-367665</wp:posOffset>
            </wp:positionV>
            <wp:extent cx="1714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-548005</wp:posOffset>
            </wp:positionV>
            <wp:extent cx="171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20574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-548005</wp:posOffset>
            </wp:positionV>
            <wp:extent cx="1885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335153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-1388110</wp:posOffset>
            </wp:positionV>
            <wp:extent cx="1714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171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-1567815</wp:posOffset>
            </wp:positionV>
            <wp:extent cx="20574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-1567815</wp:posOffset>
            </wp:positionV>
            <wp:extent cx="18859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-1567815</wp:posOffset>
            </wp:positionV>
            <wp:extent cx="335153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-2562860</wp:posOffset>
            </wp:positionV>
            <wp:extent cx="171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-2562860</wp:posOffset>
            </wp:positionV>
            <wp:extent cx="20574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-2562860</wp:posOffset>
            </wp:positionV>
            <wp:extent cx="1885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-2562860</wp:posOffset>
            </wp:positionV>
            <wp:extent cx="335153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-2905125</wp:posOffset>
            </wp:positionV>
            <wp:extent cx="137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-2905125</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-2905125</wp:posOffset>
            </wp:positionV>
            <wp:extent cx="334327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22" w:lineRule="exact"/>
        <w:rPr>
          <w:sz w:val="20"/>
          <w:szCs w:val="20"/>
          <w:color w:val="auto"/>
        </w:rPr>
      </w:pPr>
    </w:p>
    <w:p>
      <w:pPr>
        <w:ind w:left="1620" w:right="1520" w:hanging="358"/>
        <w:spacing w:after="0" w:line="284"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2019, contract cost assets of $2,690 were included in </w:t>
      </w:r>
      <w:r>
        <w:rPr>
          <w:rFonts w:ascii="Times New Roman" w:cs="Times New Roman" w:eastAsia="Times New Roman" w:hAnsi="Times New Roman"/>
          <w:sz w:val="18"/>
          <w:szCs w:val="18"/>
          <w:i w:val="1"/>
          <w:iCs w:val="1"/>
          <w:color w:val="auto"/>
        </w:rPr>
        <w:t>Prepaid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and $5,235 were included in</w:t>
      </w:r>
      <w:r>
        <w:rPr>
          <w:rFonts w:ascii="Times New Roman" w:cs="Times New Roman" w:eastAsia="Times New Roman" w:hAnsi="Times New Roman"/>
          <w:sz w:val="18"/>
          <w:szCs w:val="18"/>
          <w:i w:val="1"/>
          <w:iCs w:val="1"/>
          <w:color w:val="auto"/>
        </w:rPr>
        <w:t xml:space="preserve"> Other assets</w:t>
      </w: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620" w:right="1400" w:hanging="358"/>
        <w:spacing w:after="0" w:line="284"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on the opening balance of January 1, 2019 is $107,822, net of tax, for the cumulative effect adjustment of adopting Topics 606 and 340-40.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gridSpan w:val="3"/>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5"/>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2"/>
        </w:trPr>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 adjusted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Topics 606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340-40</w:t>
            </w:r>
          </w:p>
        </w:tc>
        <w:tc>
          <w:tcPr>
            <w:tcW w:w="2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240" w:type="dxa"/>
            <w:vAlign w:val="bottom"/>
          </w:tcPr>
          <w:p>
            <w:pPr>
              <w:spacing w:after="0"/>
              <w:rPr>
                <w:sz w:val="16"/>
                <w:szCs w:val="16"/>
                <w:color w:val="auto"/>
              </w:rPr>
            </w:pPr>
          </w:p>
        </w:tc>
      </w:tr>
      <w:tr>
        <w:trPr>
          <w:trHeight w:val="23"/>
        </w:trPr>
        <w:tc>
          <w:tcPr>
            <w:tcW w:w="45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112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420" w:type="dxa"/>
            <w:vAlign w:val="bottom"/>
            <w:tcBorders>
              <w:bottom w:val="single" w:sz="8" w:color="CCEEFF"/>
            </w:tcBorders>
            <w:gridSpan w:val="3"/>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420" w:type="dxa"/>
            <w:vAlign w:val="bottom"/>
            <w:tcBorders>
              <w:bottom w:val="single" w:sz="8" w:color="CCEEFF"/>
            </w:tcBorders>
            <w:gridSpan w:val="3"/>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24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right w:val="single" w:sz="8" w:color="CCEEFF"/>
            </w:tcBorders>
            <w:shd w:val="clear" w:color="auto" w:fill="CCEEFF"/>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1260" w:type="dxa"/>
            <w:vAlign w:val="bottom"/>
          </w:tcPr>
          <w:p>
            <w:pPr>
              <w:spacing w:after="0"/>
              <w:rPr>
                <w:sz w:val="23"/>
                <w:szCs w:val="23"/>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1240" w:type="dxa"/>
            <w:vAlign w:val="bottom"/>
          </w:tcPr>
          <w:p>
            <w:pPr>
              <w:spacing w:after="0"/>
              <w:rPr>
                <w:sz w:val="23"/>
                <w:szCs w:val="23"/>
                <w:color w:val="auto"/>
              </w:rPr>
            </w:pPr>
          </w:p>
        </w:tc>
      </w:tr>
      <w:tr>
        <w:trPr>
          <w:trHeight w:val="580"/>
        </w:trPr>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gridSpan w:val="3"/>
          </w:tcPr>
          <w:p>
            <w:pPr>
              <w:jc w:val="right"/>
              <w:ind w:right="796"/>
              <w:spacing w:after="0"/>
              <w:rPr>
                <w:sz w:val="20"/>
                <w:szCs w:val="20"/>
                <w:color w:val="auto"/>
              </w:rPr>
            </w:pPr>
            <w:r>
              <w:rPr>
                <w:rFonts w:ascii="Times New Roman" w:cs="Times New Roman" w:eastAsia="Times New Roman" w:hAnsi="Times New Roman"/>
                <w:sz w:val="18"/>
                <w:szCs w:val="18"/>
                <w:color w:val="auto"/>
              </w:rPr>
              <w:t>F-17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-976630</wp:posOffset>
            </wp:positionV>
            <wp:extent cx="171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-976630</wp:posOffset>
            </wp:positionV>
            <wp:extent cx="26543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-976630</wp:posOffset>
            </wp:positionV>
            <wp:extent cx="41230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12305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-1165225</wp:posOffset>
            </wp:positionV>
            <wp:extent cx="1714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-1508125</wp:posOffset>
            </wp:positionV>
            <wp:extent cx="1714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-2005330</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-2005330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-2005330</wp:posOffset>
            </wp:positionV>
            <wp:extent cx="34118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2" w:name="page233"/>
    <w:bookmarkEnd w:id="23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220" w:type="dxa"/>
            <w:vAlign w:val="bottom"/>
          </w:tcPr>
          <w:p>
            <w:pPr>
              <w:spacing w:after="0"/>
              <w:rPr>
                <w:sz w:val="17"/>
                <w:szCs w:val="17"/>
                <w:color w:val="auto"/>
              </w:rPr>
            </w:pPr>
          </w:p>
        </w:tc>
        <w:tc>
          <w:tcPr>
            <w:tcW w:w="9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As adjusted</w:t>
            </w: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Topics 606</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r>
      <w:tr>
        <w:trPr>
          <w:trHeight w:val="190"/>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340-40</w:t>
            </w:r>
          </w:p>
        </w:tc>
        <w:tc>
          <w:tcPr>
            <w:tcW w:w="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144,011</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0" w:type="dxa"/>
            <w:vAlign w:val="bottom"/>
          </w:tcPr>
          <w:p>
            <w:pPr>
              <w:spacing w:after="0"/>
              <w:rPr>
                <w:sz w:val="22"/>
                <w:szCs w:val="22"/>
                <w:color w:val="auto"/>
              </w:rPr>
            </w:pPr>
          </w:p>
        </w:tc>
      </w:tr>
      <w:tr>
        <w:trPr>
          <w:trHeight w:val="26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0" w:type="dxa"/>
            <w:vAlign w:val="bottom"/>
          </w:tcPr>
          <w:p>
            <w:pPr>
              <w:spacing w:after="0"/>
              <w:rPr>
                <w:sz w:val="22"/>
                <w:szCs w:val="22"/>
                <w:color w:val="auto"/>
              </w:rPr>
            </w:pPr>
          </w:p>
        </w:tc>
      </w:tr>
      <w:tr>
        <w:trPr>
          <w:trHeight w:val="257"/>
        </w:trPr>
        <w:tc>
          <w:tcPr>
            <w:tcW w:w="4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0" w:type="dxa"/>
            <w:vAlign w:val="bottom"/>
          </w:tcPr>
          <w:p>
            <w:pPr>
              <w:spacing w:after="0"/>
              <w:rPr>
                <w:sz w:val="22"/>
                <w:szCs w:val="22"/>
                <w:color w:val="auto"/>
              </w:rPr>
            </w:pPr>
          </w:p>
        </w:tc>
      </w:tr>
      <w:tr>
        <w:trPr>
          <w:trHeight w:val="25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tcPr>
          <w:p>
            <w:pPr>
              <w:spacing w:after="0"/>
              <w:rPr>
                <w:sz w:val="22"/>
                <w:szCs w:val="22"/>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0" w:type="dxa"/>
            <w:vAlign w:val="bottom"/>
          </w:tcPr>
          <w:p>
            <w:pPr>
              <w:spacing w:after="0"/>
              <w:rPr>
                <w:sz w:val="22"/>
                <w:szCs w:val="22"/>
                <w:color w:val="auto"/>
              </w:rPr>
            </w:pPr>
          </w:p>
        </w:tc>
      </w:tr>
      <w:tr>
        <w:trPr>
          <w:trHeight w:val="257"/>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0" w:type="dxa"/>
            <w:vAlign w:val="bottom"/>
          </w:tcPr>
          <w:p>
            <w:pPr>
              <w:spacing w:after="0"/>
              <w:rPr>
                <w:sz w:val="22"/>
                <w:szCs w:val="22"/>
                <w:color w:val="auto"/>
              </w:rPr>
            </w:pPr>
          </w:p>
        </w:tc>
      </w:tr>
      <w:tr>
        <w:trPr>
          <w:trHeight w:val="25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(8,765)</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(8,199)</w:t>
            </w: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0" w:type="dxa"/>
            <w:vAlign w:val="bottom"/>
          </w:tcPr>
          <w:p>
            <w:pPr>
              <w:spacing w:after="0"/>
              <w:rPr>
                <w:sz w:val="22"/>
                <w:szCs w:val="22"/>
                <w:color w:val="auto"/>
              </w:rPr>
            </w:pPr>
          </w:p>
        </w:tc>
      </w:tr>
      <w:tr>
        <w:trPr>
          <w:trHeight w:val="26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(5,557)</w:t>
            </w:r>
          </w:p>
        </w:tc>
        <w:tc>
          <w:tcPr>
            <w:tcW w:w="200" w:type="dxa"/>
            <w:vAlign w:val="bottom"/>
          </w:tcPr>
          <w:p>
            <w:pPr>
              <w:spacing w:after="0"/>
              <w:rPr>
                <w:sz w:val="22"/>
                <w:szCs w:val="22"/>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56"/>
        </w:trPr>
        <w:tc>
          <w:tcPr>
            <w:tcW w:w="4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CCEEFF"/>
            </w:tcBorders>
            <w:gridSpan w:val="2"/>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126,463</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0" w:type="dxa"/>
            <w:vAlign w:val="bottom"/>
          </w:tcPr>
          <w:p>
            <w:pPr>
              <w:spacing w:after="0"/>
              <w:rPr>
                <w:sz w:val="22"/>
                <w:szCs w:val="22"/>
                <w:color w:val="auto"/>
              </w:rPr>
            </w:pP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(29,250)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2"/>
                <w:szCs w:val="22"/>
                <w:color w:val="auto"/>
              </w:rPr>
            </w:pPr>
          </w:p>
        </w:tc>
      </w:tr>
      <w:tr>
        <w:trPr>
          <w:trHeight w:val="257"/>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$ 142,112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103,426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(330)</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103,096</w:t>
            </w:r>
          </w:p>
        </w:tc>
        <w:tc>
          <w:tcPr>
            <w:tcW w:w="20" w:type="dxa"/>
            <w:vAlign w:val="bottom"/>
          </w:tcPr>
          <w:p>
            <w:pPr>
              <w:spacing w:after="0"/>
              <w:rPr>
                <w:sz w:val="22"/>
                <w:szCs w:val="22"/>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-196215</wp:posOffset>
            </wp:positionV>
            <wp:extent cx="1714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-702310</wp:posOffset>
            </wp:positionV>
            <wp:extent cx="1714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-702310</wp:posOffset>
            </wp:positionV>
            <wp:extent cx="274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-702310</wp:posOffset>
            </wp:positionV>
            <wp:extent cx="41319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-1207770</wp:posOffset>
            </wp:positionV>
            <wp:extent cx="1714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-1388110</wp:posOffset>
            </wp:positionV>
            <wp:extent cx="1714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-1388110</wp:posOffset>
            </wp:positionV>
            <wp:extent cx="274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413194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-2219325</wp:posOffset>
            </wp:positionV>
            <wp:extent cx="1714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-2399665</wp:posOffset>
            </wp:positionV>
            <wp:extent cx="1714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-2399665</wp:posOffset>
            </wp:positionV>
            <wp:extent cx="274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-2399665</wp:posOffset>
            </wp:positionV>
            <wp:extent cx="413194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-2579370</wp:posOffset>
            </wp:positionV>
            <wp:extent cx="1714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-2759710</wp:posOffset>
            </wp:positionV>
            <wp:extent cx="1371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-2759710</wp:posOffset>
            </wp:positionV>
            <wp:extent cx="137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-2759710</wp:posOffset>
            </wp:positionV>
            <wp:extent cx="34118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On January 1, 2019, the Company adopted Topic 606 using the modified retrospective method, under which the cumulative effect of initially applying Topic 606 of $125,464 ( $101,489, net of tax)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for perpetual licenses and the accounting for certain of the Company’s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term-based software license revenue will be recognized up-front upon delivery of the software license. The comparative information has not been adjusted and continues to be reported under Topic 605. Refer to Note 2, Recent Accounting Pronouncements, for a qualitative and quantitative discussion of the adoption impact.</w:t>
      </w:r>
    </w:p>
    <w:p>
      <w:pPr>
        <w:spacing w:after="0" w:line="279"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46" w:lineRule="exact"/>
        <w:rPr>
          <w:sz w:val="20"/>
          <w:szCs w:val="20"/>
          <w:color w:val="auto"/>
        </w:rPr>
      </w:pPr>
    </w:p>
    <w:p>
      <w:pPr>
        <w:ind w:left="1260" w:right="9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SELECT subscriptions — </w:t>
      </w:r>
      <w:r>
        <w:rPr>
          <w:rFonts w:ascii="Times New Roman" w:cs="Times New Roman" w:eastAsia="Times New Roman" w:hAnsi="Times New Roman"/>
          <w:sz w:val="18"/>
          <w:szCs w:val="18"/>
          <w:color w:val="auto"/>
        </w:rPr>
        <w:t>A prepaid annual recurring subscription that accounts can elect to add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 previously purchased perpetual license. SELECT provides accounts with benefits, including upgrades,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color w:val="auto"/>
        </w:rPr>
        <w:t>comprehensive technical support, pooled licensing benefits, annual portfolio balancing exchange rights, learning benefits, certain Azure-based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10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 </w:t>
      </w:r>
      <w:r>
        <w:rPr>
          <w:rFonts w:ascii="Times New Roman" w:cs="Times New Roman" w:eastAsia="Times New Roman" w:hAnsi="Times New Roman"/>
          <w:sz w:val="18"/>
          <w:szCs w:val="18"/>
          <w:color w:val="auto"/>
        </w:rPr>
        <w:t>The Company also provides Enterprise subscription offerings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its largest accounts with complete and unlimited global access to the Company’s comprehensive portfolio of solutions. Enterprise License Subscriptions (“ELS”) provide access for a prepaid fee, which is based on the account’s usage of software in the preceding year, effectively a fee-certain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24"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Topics 606 and 605. Usage is defined as distinct user access on a daily basis. The term of E365 subscriptions aligns with calendar quarters and revenue is recognized based on actual usage.</w:t>
      </w:r>
    </w:p>
    <w:p>
      <w:pPr>
        <w:spacing w:after="0" w:line="335"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 </w:t>
      </w:r>
      <w:r>
        <w:rPr>
          <w:rFonts w:ascii="Times New Roman" w:cs="Times New Roman" w:eastAsia="Times New Roman" w:hAnsi="Times New Roman"/>
          <w:sz w:val="18"/>
          <w:szCs w:val="18"/>
          <w:color w:val="auto"/>
        </w:rPr>
        <w:t>The Company provides annual, quarterly, and monthly term licenses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333"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48"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w:t>
      </w:r>
    </w:p>
    <w:p>
      <w:pPr>
        <w:spacing w:after="0" w:line="1" w:lineRule="exact"/>
        <w:rPr>
          <w:sz w:val="20"/>
          <w:szCs w:val="20"/>
          <w:color w:val="auto"/>
        </w:rPr>
      </w:pPr>
    </w:p>
    <w:p>
      <w:pPr>
        <w:ind w:left="1260" w:right="919" w:firstLine="2"/>
        <w:spacing w:after="0" w:line="243" w:lineRule="auto"/>
        <w:tabs>
          <w:tab w:leader="none" w:pos="16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Topic 605, the Company recognized perpetual licenses revenue ratably over a three-year term due to the portfolio balancing feature users obtain through their SELECT subscriptions.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62"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 -like,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 under both Topic 606 and 605.</w:t>
      </w:r>
    </w:p>
    <w:p>
      <w:pPr>
        <w:spacing w:after="0" w:line="12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48" w:lineRule="exact"/>
        <w:rPr>
          <w:sz w:val="20"/>
          <w:szCs w:val="20"/>
          <w:color w:val="auto"/>
        </w:rPr>
      </w:pPr>
    </w:p>
    <w:p>
      <w:pPr>
        <w:jc w:val="both"/>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w:t>
      </w:r>
    </w:p>
    <w:p>
      <w:pPr>
        <w:spacing w:after="0" w:line="1" w:lineRule="exact"/>
        <w:rPr>
          <w:sz w:val="20"/>
          <w:szCs w:val="20"/>
          <w:color w:val="auto"/>
        </w:rPr>
      </w:pPr>
    </w:p>
    <w:p>
      <w:pPr>
        <w:ind w:left="1260" w:right="719"/>
        <w:spacing w:after="0" w:line="251"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125"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Company’s SELECT agreement provides users with perpetual licenses a right to exchange software for other eligible perpetual licenses on an annual basis upon renewal. The Company refers to this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1320"/>
        <w:spacing w:after="0"/>
        <w:rPr>
          <w:sz w:val="20"/>
          <w:szCs w:val="20"/>
          <w:color w:val="auto"/>
        </w:rPr>
      </w:pPr>
      <w:r>
        <w:rPr>
          <w:rFonts w:ascii="Times New Roman" w:cs="Times New Roman" w:eastAsia="Times New Roman" w:hAnsi="Times New Roman"/>
          <w:sz w:val="18"/>
          <w:szCs w:val="18"/>
          <w:color w:val="auto"/>
        </w:rPr>
        <w:t xml:space="preserve">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2019, the Company has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on the consolidated balance sheet.</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90"/>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212,529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2087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97" w:lineRule="exact"/>
        <w:rPr>
          <w:sz w:val="20"/>
          <w:szCs w:val="20"/>
          <w:color w:val="auto"/>
        </w:rPr>
      </w:pPr>
    </w:p>
    <w:p>
      <w:pPr>
        <w:ind w:left="1260" w:right="1300"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December 31, 2019.</w:t>
      </w:r>
    </w:p>
    <w:p>
      <w:pPr>
        <w:spacing w:after="0" w:line="109" w:lineRule="exact"/>
        <w:rPr>
          <w:sz w:val="20"/>
          <w:szCs w:val="20"/>
          <w:color w:val="auto"/>
        </w:rPr>
      </w:pPr>
    </w:p>
    <w:p>
      <w:pPr>
        <w:ind w:left="1260" w:right="1360" w:firstLine="360"/>
        <w:spacing w:after="0" w:line="250"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SELECT, and professional services. The timing of revenue recognition may differ from the timing of billings to users.</w:t>
      </w:r>
    </w:p>
    <w:p>
      <w:pPr>
        <w:spacing w:after="0" w:line="109" w:lineRule="exact"/>
        <w:rPr>
          <w:sz w:val="20"/>
          <w:szCs w:val="20"/>
          <w:color w:val="auto"/>
        </w:rPr>
      </w:pPr>
    </w:p>
    <w:p>
      <w:pPr>
        <w:ind w:left="1260" w:right="1300" w:firstLine="36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2019, $202,354 of revenue that was included in the January 1, 2019 deferred revenue opening balance was recognized. There were additional deferrals of $202,806, which were primarily related to new billings.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48" w:lineRule="exact"/>
        <w:rPr>
          <w:sz w:val="20"/>
          <w:szCs w:val="20"/>
          <w:color w:val="auto"/>
        </w:rPr>
      </w:pPr>
    </w:p>
    <w:p>
      <w:pPr>
        <w:ind w:left="1260" w:right="1260" w:firstLine="360"/>
        <w:spacing w:after="0" w:line="245"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2019, amounts allocated to these remaining performance obligations are $213,145, of which the Company expects to recognize 96.2% over the next 12 months with the remaining amount thereafter.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8"/>
                <w:szCs w:val="18"/>
                <w:color w:val="auto"/>
              </w:rPr>
            </w:pPr>
          </w:p>
        </w:tc>
        <w:tc>
          <w:tcPr>
            <w:tcW w:w="16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Pr>
          <w:p>
            <w:pPr>
              <w:spacing w:after="0"/>
              <w:rPr>
                <w:sz w:val="18"/>
                <w:szCs w:val="18"/>
                <w:color w:val="auto"/>
              </w:rPr>
            </w:pPr>
          </w:p>
        </w:tc>
      </w:tr>
      <w:tr>
        <w:trPr>
          <w:trHeight w:val="23"/>
        </w:trPr>
        <w:tc>
          <w:tcPr>
            <w:tcW w:w="1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240" w:type="dxa"/>
            <w:vAlign w:val="bottom"/>
          </w:tcPr>
          <w:p>
            <w:pPr>
              <w:spacing w:after="0"/>
              <w:rPr>
                <w:sz w:val="18"/>
                <w:szCs w:val="18"/>
                <w:color w:val="auto"/>
              </w:rPr>
            </w:pPr>
          </w:p>
        </w:tc>
      </w:tr>
      <w:tr>
        <w:trPr>
          <w:trHeight w:val="23"/>
        </w:trPr>
        <w:tc>
          <w:tcPr>
            <w:tcW w:w="450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5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Subscriptions:</w:t>
            </w:r>
          </w:p>
        </w:tc>
        <w:tc>
          <w:tcPr>
            <w:tcW w:w="2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 revenues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$267,249</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182,816</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184,833</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2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100,860</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156,218</w:t>
            </w:r>
          </w:p>
        </w:tc>
        <w:tc>
          <w:tcPr>
            <w:tcW w:w="124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240" w:type="dxa"/>
            <w:vAlign w:val="bottom"/>
          </w:tcPr>
          <w:p>
            <w:pPr>
              <w:spacing w:after="0"/>
              <w:rPr>
                <w:sz w:val="23"/>
                <w:szCs w:val="23"/>
                <w:color w:val="auto"/>
              </w:rPr>
            </w:pPr>
          </w:p>
        </w:tc>
      </w:tr>
      <w:tr>
        <w:trPr>
          <w:trHeight w:val="635"/>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F-21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-1653540</wp:posOffset>
            </wp:positionV>
            <wp:extent cx="47663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6" w:name="page237"/>
    <w:bookmarkEnd w:id="23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5680" w:type="dxa"/>
            <w:vAlign w:val="bottom"/>
          </w:tcPr>
          <w:p>
            <w:pPr>
              <w:spacing w:after="0"/>
              <w:rPr>
                <w:sz w:val="16"/>
                <w:szCs w:val="16"/>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02"/>
        </w:trPr>
        <w:tc>
          <w:tcPr>
            <w:tcW w:w="5680" w:type="dxa"/>
            <w:vAlign w:val="bottom"/>
          </w:tcPr>
          <w:p>
            <w:pPr>
              <w:spacing w:after="0"/>
              <w:rPr>
                <w:sz w:val="17"/>
                <w:szCs w:val="17"/>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6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56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5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63"/>
        </w:trPr>
        <w:tc>
          <w:tcPr>
            <w:tcW w:w="5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59,693</w:t>
            </w:r>
          </w:p>
        </w:tc>
      </w:tr>
      <w:tr>
        <w:trPr>
          <w:trHeight w:val="25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667,993</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w:t>
            </w:r>
          </w:p>
        </w:tc>
      </w:tr>
      <w:tr>
        <w:trPr>
          <w:trHeight w:val="263"/>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Professional services (all 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r>
      <w:tr>
        <w:trPr>
          <w:trHeight w:val="26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r>
      <w:tr>
        <w:trPr>
          <w:trHeight w:val="257"/>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691,710</w:t>
            </w:r>
          </w:p>
        </w:tc>
        <w:tc>
          <w:tcPr>
            <w:tcW w:w="2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734,849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736,654</w:t>
            </w:r>
          </w:p>
        </w:tc>
      </w:tr>
      <w:tr>
        <w:trPr>
          <w:trHeight w:val="20"/>
        </w:trPr>
        <w:tc>
          <w:tcPr>
            <w:tcW w:w="5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47745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477456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476631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78"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year ended December 31, 2019, the Company recognized $311,689 of license related revenues, of which $251,996 was attributable to the term license component of the Company’s subscription based commercial offerings recorded in Subscriptions.</w:t>
      </w:r>
    </w:p>
    <w:p>
      <w:pPr>
        <w:spacing w:after="0" w:line="326"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Under Topic 606, the Company derived 8% of its total revenues through channel partners for the year ended December 31, 2019.</w:t>
      </w:r>
    </w:p>
    <w:p>
      <w:pPr>
        <w:spacing w:after="0" w:line="95"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7"/>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2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1940" w:type="dxa"/>
            <w:vAlign w:val="bottom"/>
            <w:gridSpan w:val="2"/>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49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$328,749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$360,934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$356,331</w:t>
            </w:r>
          </w:p>
        </w:tc>
      </w:tr>
      <w:tr>
        <w:trPr>
          <w:trHeight w:val="270"/>
        </w:trPr>
        <w:tc>
          <w:tcPr>
            <w:tcW w:w="360" w:type="dxa"/>
            <w:vAlign w:val="bottom"/>
          </w:tcPr>
          <w:p>
            <w:pPr>
              <w:spacing w:after="0"/>
              <w:rPr>
                <w:sz w:val="23"/>
                <w:szCs w:val="23"/>
                <w:color w:val="auto"/>
              </w:rPr>
            </w:pPr>
          </w:p>
        </w:tc>
        <w:tc>
          <w:tcPr>
            <w:tcW w:w="49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6"/>
                <w:szCs w:val="26"/>
                <w:color w:val="auto"/>
                <w:vertAlign w:val="superscript"/>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r>
      <w:tr>
        <w:trPr>
          <w:trHeight w:val="263"/>
        </w:trPr>
        <w:tc>
          <w:tcPr>
            <w:tcW w:w="360" w:type="dxa"/>
            <w:vAlign w:val="bottom"/>
          </w:tcPr>
          <w:p>
            <w:pPr>
              <w:spacing w:after="0"/>
              <w:rPr>
                <w:sz w:val="22"/>
                <w:szCs w:val="22"/>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22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138,661</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143,721</w:t>
            </w:r>
          </w:p>
        </w:tc>
      </w:tr>
      <w:tr>
        <w:trPr>
          <w:trHeight w:val="263"/>
        </w:trPr>
        <w:tc>
          <w:tcPr>
            <w:tcW w:w="360" w:type="dxa"/>
            <w:vAlign w:val="bottom"/>
          </w:tcPr>
          <w:p>
            <w:pPr>
              <w:spacing w:after="0"/>
              <w:rPr>
                <w:sz w:val="22"/>
                <w:szCs w:val="22"/>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-959485</wp:posOffset>
            </wp:positionV>
            <wp:extent cx="43033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83" w:lineRule="exact"/>
        <w:rPr>
          <w:sz w:val="20"/>
          <w:szCs w:val="20"/>
          <w:color w:val="auto"/>
        </w:rPr>
      </w:pPr>
    </w:p>
    <w:p>
      <w:pPr>
        <w:jc w:val="both"/>
        <w:ind w:left="1620" w:right="879" w:hanging="358"/>
        <w:spacing w:after="0" w:line="266" w:lineRule="auto"/>
        <w:tabs>
          <w:tab w:leader="none" w:pos="1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$277,706 (Topic 605) for the year ended December 31, 2018 and $307,259 (Topic 605) and $306,493 (Topic 606) for the year ended December 31, 2019.</w:t>
      </w:r>
    </w:p>
    <w:p>
      <w:pPr>
        <w:ind w:left="1620" w:hanging="358"/>
        <w:spacing w:after="0"/>
        <w:tabs>
          <w:tab w:leader="none" w:pos="1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$59,086 (Topic 605) for the year ended</w:t>
      </w:r>
    </w:p>
    <w:p>
      <w:pPr>
        <w:spacing w:after="0" w:line="27" w:lineRule="exact"/>
        <w:rPr>
          <w:rFonts w:ascii="Times New Roman" w:cs="Times New Roman" w:eastAsia="Times New Roman" w:hAnsi="Times New Roman"/>
          <w:sz w:val="18"/>
          <w:szCs w:val="18"/>
          <w:color w:val="auto"/>
        </w:rPr>
      </w:pPr>
    </w:p>
    <w:p>
      <w:pPr>
        <w:ind w:left="162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2018 and $59,524 (Topic 605) and $57,321 (Topic 606) for the year ended December 31, 2019.</w:t>
      </w:r>
    </w:p>
    <w:p>
      <w:pPr>
        <w:spacing w:after="0" w:line="100"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Adoption of the standards had no impact to net cash provided by or used in operating, financing, or investing activities on the Company’s consolidated statement of cash flows.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35"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completed a number of acquisitions, none of which were material, individually or in the aggregate, to the Company’s consolidated statements of operations. The aggregate details of the Company’s acquisition activity are as follows:</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Acquisitions Completed</w:t>
            </w:r>
          </w:p>
        </w:tc>
      </w:tr>
      <w:tr>
        <w:trPr>
          <w:trHeight w:val="162"/>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in Year Ended</w:t>
            </w:r>
          </w:p>
        </w:tc>
      </w:tr>
      <w:tr>
        <w:trPr>
          <w:trHeight w:val="190"/>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3"/>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5740" w:type="dxa"/>
            <w:vAlign w:val="bottom"/>
          </w:tcPr>
          <w:p>
            <w:pPr>
              <w:spacing w:after="0"/>
              <w:rPr>
                <w:sz w:val="17"/>
                <w:szCs w:val="17"/>
                <w:color w:val="auto"/>
              </w:rPr>
            </w:pP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r>
      <w:tr>
        <w:trPr>
          <w:trHeight w:val="25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$36,577</w:t>
            </w:r>
          </w:p>
        </w:tc>
        <w:tc>
          <w:tcPr>
            <w:tcW w:w="60" w:type="dxa"/>
            <w:vAlign w:val="bottom"/>
          </w:tcPr>
          <w:p>
            <w:pPr>
              <w:spacing w:after="0"/>
              <w:rPr>
                <w:sz w:val="22"/>
                <w:szCs w:val="22"/>
                <w:color w:val="auto"/>
              </w:rPr>
            </w:pPr>
          </w:p>
        </w:tc>
      </w:tr>
      <w:tr>
        <w:trPr>
          <w:trHeight w:val="26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0" w:type="dxa"/>
            <w:vAlign w:val="bottom"/>
          </w:tcPr>
          <w:p>
            <w:pPr>
              <w:spacing w:after="0"/>
              <w:rPr>
                <w:sz w:val="22"/>
                <w:szCs w:val="22"/>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$34,054</w:t>
            </w:r>
          </w:p>
        </w:tc>
        <w:tc>
          <w:tcPr>
            <w:tcW w:w="60" w:type="dxa"/>
            <w:vAlign w:val="bottom"/>
          </w:tcPr>
          <w:p>
            <w:pPr>
              <w:spacing w:after="0"/>
              <w:rPr>
                <w:sz w:val="22"/>
                <w:szCs w:val="22"/>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6308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the fair value of the contingent consideration related to acquisitions totaled $4,316, of which $2,390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$1,926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the consolidated balance sheet.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the consolidated balance sheet.</w:t>
      </w:r>
    </w:p>
    <w:p>
      <w:pPr>
        <w:spacing w:after="0" w:line="96"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One of the 2018 acquisitions required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The remaining contingent consideration as of December 31, 2018 was payable to former shareholders across 2017 and 2018 acquisitions if certain acquisition related key employees remained employed with the Company through certain periods.</w:t>
      </w:r>
    </w:p>
    <w:p>
      <w:pPr>
        <w:spacing w:after="0" w:line="116"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and 2019, total current deferred payment obligations including contingent consideration for all acquisitions were $11,019 and $5,999, respectively and are included in </w:t>
      </w:r>
      <w:r>
        <w:rPr>
          <w:rFonts w:ascii="Times New Roman" w:cs="Times New Roman" w:eastAsia="Times New Roman" w:hAnsi="Times New Roman"/>
          <w:sz w:val="18"/>
          <w:szCs w:val="18"/>
          <w:i w:val="1"/>
          <w:iCs w:val="1"/>
          <w:color w:val="auto"/>
        </w:rPr>
        <w:t>Accruals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the consolidated balance sheet.</w:t>
      </w:r>
    </w:p>
    <w:p>
      <w:pPr>
        <w:spacing w:after="0" w:line="96"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and 2019, total long-term deferred payment obligations including contingent consideration for all acquisitions were $2,826 and $1,499, respectively and are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consolidated balance sheets.</w:t>
      </w:r>
    </w:p>
    <w:p>
      <w:pPr>
        <w:spacing w:after="0" w:line="109"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pacing w:after="0" w:line="117" w:lineRule="exact"/>
        <w:rPr>
          <w:sz w:val="20"/>
          <w:szCs w:val="20"/>
          <w:color w:val="auto"/>
        </w:rPr>
      </w:pPr>
    </w:p>
    <w:p>
      <w:pPr>
        <w:jc w:val="both"/>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w:t>
      </w:r>
    </w:p>
    <w:p>
      <w:pPr>
        <w:spacing w:after="0" w:line="1"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color w:val="auto"/>
        </w:rPr>
        <w:t>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years ended December 31, 2018 and 2019, the fair value adjustments to reduce revenue were $2,469 and $553, respectively.</w:t>
      </w:r>
    </w:p>
    <w:p>
      <w:pPr>
        <w:spacing w:after="0" w:line="109" w:lineRule="exact"/>
        <w:rPr>
          <w:sz w:val="20"/>
          <w:szCs w:val="20"/>
          <w:color w:val="auto"/>
        </w:rPr>
      </w:pPr>
    </w:p>
    <w:p>
      <w:pPr>
        <w:ind w:left="1260" w:right="759" w:firstLine="360"/>
        <w:spacing w:after="0" w:line="263" w:lineRule="auto"/>
        <w:rPr>
          <w:sz w:val="20"/>
          <w:szCs w:val="20"/>
          <w:color w:val="auto"/>
        </w:rPr>
      </w:pPr>
      <w:r>
        <w:rPr>
          <w:rFonts w:ascii="Times New Roman" w:cs="Times New Roman" w:eastAsia="Times New Roman" w:hAnsi="Times New Roman"/>
          <w:sz w:val="18"/>
          <w:szCs w:val="18"/>
          <w:color w:val="auto"/>
        </w:rPr>
        <w:t>The purchase accounting for three of our acquisitions, which were completed during the year ended December 31, 2019, is not yet finalized. Identifiable assets acquired and liabilities assumed were provisionally recorded at their estimated fair values on the acquisition date. The initial accounting for these business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ind w:left="1260" w:right="1320"/>
        <w:spacing w:after="0" w:line="241" w:lineRule="auto"/>
        <w:rPr>
          <w:sz w:val="20"/>
          <w:szCs w:val="20"/>
          <w:color w:val="auto"/>
        </w:rPr>
      </w:pPr>
      <w:r>
        <w:rPr>
          <w:rFonts w:ascii="Times New Roman" w:cs="Times New Roman" w:eastAsia="Times New Roman" w:hAnsi="Times New Roman"/>
          <w:sz w:val="18"/>
          <w:szCs w:val="18"/>
          <w:color w:val="auto"/>
        </w:rPr>
        <w:t>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03" w:lineRule="exact"/>
        <w:rPr>
          <w:sz w:val="20"/>
          <w:szCs w:val="20"/>
          <w:color w:val="auto"/>
        </w:rPr>
      </w:pPr>
    </w:p>
    <w:p>
      <w:pPr>
        <w:ind w:left="1260" w:right="1320" w:firstLine="360"/>
        <w:spacing w:after="0" w:line="245"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years ended December 31, 2018 and 2019, the Company incurred acquisition and integration costs of $1,361 and $950,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Company’s consolidated statements of operations.</w:t>
      </w:r>
    </w:p>
    <w:p>
      <w:pPr>
        <w:spacing w:after="0" w:line="113" w:lineRule="exact"/>
        <w:rPr>
          <w:sz w:val="20"/>
          <w:szCs w:val="20"/>
          <w:color w:val="auto"/>
        </w:rPr>
      </w:pPr>
    </w:p>
    <w:p>
      <w:pPr>
        <w:ind w:left="1260" w:right="1460"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6"/>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8"/>
              </w:rPr>
              <w:t>Acquisitions Completed</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in Year Ended</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143,038</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36,577</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 to sellers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2"/>
          </w:tcPr>
          <w:p>
            <w:pPr>
              <w:jc w:val="right"/>
              <w:ind w:righ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157,184</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5 and 7 years,</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7 and 5 years)</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52,986</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15,338</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(1,869)</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Pr>
          <w:p>
            <w:pPr>
              <w:spacing w:after="0"/>
              <w:rPr>
                <w:sz w:val="22"/>
                <w:szCs w:val="22"/>
                <w:color w:val="auto"/>
              </w:rPr>
            </w:pPr>
          </w:p>
        </w:tc>
        <w:tc>
          <w:tcPr>
            <w:tcW w:w="21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(2,897)</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(18,946)</w:t>
            </w:r>
          </w:p>
        </w:tc>
        <w:tc>
          <w:tcPr>
            <w:tcW w:w="80" w:type="dxa"/>
            <w:vAlign w:val="bottom"/>
          </w:tcPr>
          <w:p>
            <w:pPr>
              <w:spacing w:after="0"/>
              <w:rPr>
                <w:sz w:val="24"/>
                <w:szCs w:val="24"/>
                <w:color w:val="auto"/>
              </w:rPr>
            </w:pPr>
          </w:p>
        </w:tc>
        <w:tc>
          <w:tcPr>
            <w:tcW w:w="21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123,144</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34,041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157,184</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F-24</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6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-899795</wp:posOffset>
            </wp:positionV>
            <wp:extent cx="437197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-1259205</wp:posOffset>
            </wp:positionV>
            <wp:extent cx="437197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-1979295</wp:posOffset>
            </wp:positionV>
            <wp:extent cx="437197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-4105275</wp:posOffset>
            </wp:positionV>
            <wp:extent cx="43719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-4756785</wp:posOffset>
            </wp:positionV>
            <wp:extent cx="436308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9" w:name="page240"/>
    <w:bookmarkEnd w:id="23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ind w:left="1260" w:right="2180" w:firstLine="360"/>
        <w:spacing w:after="0" w:line="266"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81" w:lineRule="exact"/>
        <w:rPr>
          <w:sz w:val="20"/>
          <w:szCs w:val="20"/>
          <w:color w:val="auto"/>
        </w:rPr>
      </w:pPr>
    </w:p>
    <w:p>
      <w:pPr>
        <w:ind w:left="1260" w:right="1760"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95"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117" w:lineRule="exact"/>
        <w:rPr>
          <w:sz w:val="20"/>
          <w:szCs w:val="20"/>
          <w:color w:val="auto"/>
        </w:rPr>
      </w:pPr>
    </w:p>
    <w:p>
      <w:pPr>
        <w:jc w:val="both"/>
        <w:ind w:left="1260" w:right="1520" w:firstLine="360"/>
        <w:spacing w:after="0" w:line="250" w:lineRule="auto"/>
        <w:rPr>
          <w:sz w:val="20"/>
          <w:szCs w:val="20"/>
          <w:color w:val="auto"/>
        </w:rPr>
      </w:pPr>
      <w:r>
        <w:rPr>
          <w:rFonts w:ascii="Times New Roman" w:cs="Times New Roman" w:eastAsia="Times New Roman" w:hAnsi="Times New Roman"/>
          <w:sz w:val="18"/>
          <w:szCs w:val="18"/>
          <w:color w:val="auto"/>
        </w:rPr>
        <w:t>Goodwill recorded in connection with the acquisition was attributable to synergies expected to arise from cost saving opportunities as well as future expected cash flows. Of the goodwill recorded, $6,501 is expected to be deductible for tax purposes.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2018 and 2019:</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5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9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60" w:type="dxa"/>
            <w:vAlign w:val="bottom"/>
          </w:tcPr>
          <w:p>
            <w:pPr>
              <w:spacing w:after="0"/>
              <w:rPr>
                <w:sz w:val="21"/>
                <w:szCs w:val="2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60" w:type="dxa"/>
            <w:vAlign w:val="bottom"/>
          </w:tcPr>
          <w:p>
            <w:pPr>
              <w:spacing w:after="0"/>
              <w:rPr>
                <w:sz w:val="22"/>
                <w:szCs w:val="22"/>
                <w:color w:val="auto"/>
              </w:rPr>
            </w:pPr>
          </w:p>
        </w:tc>
      </w:tr>
      <w:tr>
        <w:trPr>
          <w:trHeight w:val="256"/>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60" w:type="dxa"/>
            <w:vAlign w:val="bottom"/>
          </w:tcPr>
          <w:p>
            <w:pPr>
              <w:spacing w:after="0"/>
              <w:rPr>
                <w:sz w:val="22"/>
                <w:szCs w:val="22"/>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60" w:type="dxa"/>
            <w:vAlign w:val="bottom"/>
          </w:tcPr>
          <w:p>
            <w:pPr>
              <w:spacing w:after="0"/>
              <w:rPr>
                <w:sz w:val="22"/>
                <w:szCs w:val="22"/>
                <w:color w:val="auto"/>
              </w:rPr>
            </w:pPr>
          </w:p>
        </w:tc>
      </w:tr>
      <w:tr>
        <w:trPr>
          <w:trHeight w:val="257"/>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60" w:type="dxa"/>
            <w:vAlign w:val="bottom"/>
          </w:tcPr>
          <w:p>
            <w:pPr>
              <w:spacing w:after="0"/>
              <w:rPr>
                <w:sz w:val="22"/>
                <w:szCs w:val="22"/>
                <w:color w:val="auto"/>
              </w:rPr>
            </w:pPr>
          </w:p>
        </w:tc>
      </w:tr>
      <w:tr>
        <w:trPr>
          <w:trHeight w:val="26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2"/>
                <w:szCs w:val="22"/>
                <w:color w:val="auto"/>
              </w:rPr>
            </w:pPr>
          </w:p>
        </w:tc>
      </w:tr>
      <w:tr>
        <w:trPr>
          <w:trHeight w:val="256"/>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60" w:type="dxa"/>
            <w:vAlign w:val="bottom"/>
          </w:tcPr>
          <w:p>
            <w:pPr>
              <w:spacing w:after="0"/>
              <w:rPr>
                <w:sz w:val="22"/>
                <w:szCs w:val="22"/>
                <w:color w:val="auto"/>
              </w:rPr>
            </w:pPr>
          </w:p>
        </w:tc>
      </w:tr>
      <w:tr>
        <w:trPr>
          <w:trHeight w:val="26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(66,507)</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(68,852)</w:t>
            </w:r>
          </w:p>
        </w:tc>
      </w:tr>
      <w:tr>
        <w:trPr>
          <w:trHeight w:val="20"/>
        </w:trPr>
        <w:tc>
          <w:tcPr>
            <w:tcW w:w="5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60" w:type="dxa"/>
            <w:vAlign w:val="bottom"/>
          </w:tcPr>
          <w:p>
            <w:pPr>
              <w:spacing w:after="0"/>
              <w:rPr>
                <w:sz w:val="22"/>
                <w:szCs w:val="22"/>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2879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287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-1542415</wp:posOffset>
            </wp:positionV>
            <wp:extent cx="432054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191" w:lineRule="exact"/>
        <w:rPr>
          <w:sz w:val="20"/>
          <w:szCs w:val="20"/>
          <w:color w:val="auto"/>
        </w:rPr>
      </w:pPr>
    </w:p>
    <w:p>
      <w:pPr>
        <w:ind w:left="1260" w:right="1880"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was $9,300 and $9,813,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48" w:lineRule="exact"/>
        <w:rPr>
          <w:sz w:val="20"/>
          <w:szCs w:val="20"/>
          <w:color w:val="auto"/>
        </w:rPr>
      </w:pPr>
    </w:p>
    <w:p>
      <w:pPr>
        <w:ind w:left="1260" w:right="1440" w:firstLine="360"/>
        <w:spacing w:after="0" w:line="266" w:lineRule="auto"/>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2018 and 2019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$336,982</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123,144</w:t>
            </w:r>
          </w:p>
        </w:tc>
        <w:tc>
          <w:tcPr>
            <w:tcW w:w="1620" w:type="dxa"/>
            <w:vAlign w:val="bottom"/>
          </w:tcPr>
          <w:p>
            <w:pPr>
              <w:spacing w:after="0"/>
              <w:rPr>
                <w:sz w:val="18"/>
                <w:szCs w:val="18"/>
                <w:color w:val="auto"/>
              </w:rPr>
            </w:pPr>
          </w:p>
        </w:tc>
      </w:tr>
      <w:tr>
        <w:trPr>
          <w:trHeight w:val="243"/>
        </w:trPr>
        <w:tc>
          <w:tcPr>
            <w:tcW w:w="16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620" w:type="dxa"/>
            <w:vAlign w:val="bottom"/>
          </w:tcPr>
          <w:p>
            <w:pPr>
              <w:spacing w:after="0"/>
              <w:rPr>
                <w:sz w:val="21"/>
                <w:szCs w:val="21"/>
                <w:color w:val="auto"/>
              </w:rPr>
            </w:pPr>
          </w:p>
        </w:tc>
      </w:tr>
      <w:tr>
        <w:trPr>
          <w:trHeight w:val="210"/>
        </w:trPr>
        <w:tc>
          <w:tcPr>
            <w:tcW w:w="50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700" w:type="dxa"/>
            <w:vAlign w:val="bottom"/>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16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3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tcPr>
          <w:p>
            <w:pPr>
              <w:spacing w:after="0"/>
              <w:rPr>
                <w:sz w:val="21"/>
                <w:szCs w:val="21"/>
                <w:color w:val="auto"/>
              </w:rPr>
            </w:pPr>
          </w:p>
        </w:tc>
      </w:tr>
      <w:tr>
        <w:trPr>
          <w:trHeight w:val="236"/>
        </w:trPr>
        <w:tc>
          <w:tcPr>
            <w:tcW w:w="50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480,065</w:t>
            </w:r>
          </w:p>
        </w:tc>
        <w:tc>
          <w:tcPr>
            <w:tcW w:w="162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55"/>
        </w:trPr>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700" w:type="dxa"/>
            <w:vAlign w:val="bottom"/>
            <w:gridSpan w:val="3"/>
          </w:tcPr>
          <w:p>
            <w:pPr>
              <w:jc w:val="right"/>
              <w:ind w:right="5200"/>
              <w:spacing w:after="0"/>
              <w:rPr>
                <w:sz w:val="20"/>
                <w:szCs w:val="20"/>
                <w:color w:val="auto"/>
              </w:rPr>
            </w:pPr>
            <w:r>
              <w:rPr>
                <w:rFonts w:ascii="Times New Roman" w:cs="Times New Roman" w:eastAsia="Times New Roman" w:hAnsi="Times New Roman"/>
                <w:sz w:val="18"/>
                <w:szCs w:val="18"/>
                <w:color w:val="auto"/>
              </w:rPr>
              <w:t>F-25</w:t>
            </w:r>
          </w:p>
        </w:tc>
      </w:tr>
      <w:tr>
        <w:trPr>
          <w:trHeight w:val="399"/>
        </w:trPr>
        <w:tc>
          <w:tcPr>
            <w:tcW w:w="16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40" w:name="page241"/>
    <w:bookmarkEnd w:id="24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Details of intangible assets other than goodwill as of December 31, 2018 and 2019 are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80" w:type="dxa"/>
            <w:vAlign w:val="bottom"/>
          </w:tcPr>
          <w:p>
            <w:pPr>
              <w:spacing w:after="0"/>
              <w:rPr>
                <w:sz w:val="16"/>
                <w:szCs w:val="16"/>
                <w:color w:val="auto"/>
              </w:rPr>
            </w:pPr>
          </w:p>
        </w:tc>
        <w:tc>
          <w:tcPr>
            <w:tcW w:w="2260" w:type="dxa"/>
            <w:vAlign w:val="bottom"/>
            <w:gridSpan w:val="7"/>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00" w:type="dxa"/>
            <w:vAlign w:val="bottom"/>
          </w:tcPr>
          <w:p>
            <w:pPr>
              <w:spacing w:after="0"/>
              <w:rPr>
                <w:sz w:val="16"/>
                <w:szCs w:val="16"/>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(57,937)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57"/>
        </w:trPr>
        <w:tc>
          <w:tcPr>
            <w:tcW w:w="2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86,364</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33,611</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29,160</w:t>
            </w:r>
          </w:p>
        </w:tc>
      </w:tr>
      <w:tr>
        <w:trPr>
          <w:trHeight w:val="25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22"/>
                <w:szCs w:val="2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r>
      <w:tr>
        <w:trPr>
          <w:trHeight w:val="263"/>
        </w:trPr>
        <w:tc>
          <w:tcPr>
            <w:tcW w:w="2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173,414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(119,642)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53,772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177,395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(131,082)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r>
      <w:tr>
        <w:trPr>
          <w:trHeight w:val="167"/>
        </w:trPr>
        <w:tc>
          <w:tcPr>
            <w:tcW w:w="20" w:type="dxa"/>
            <w:vAlign w:val="bottom"/>
          </w:tcPr>
          <w:p>
            <w:pPr>
              <w:spacing w:after="0"/>
              <w:rPr>
                <w:sz w:val="14"/>
                <w:szCs w:val="14"/>
                <w:color w:val="auto"/>
              </w:rPr>
            </w:pPr>
          </w:p>
        </w:tc>
        <w:tc>
          <w:tcPr>
            <w:tcW w:w="22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w w:val="95"/>
              </w:rPr>
              <w:t>Intangible assets not subject to</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r>
      <w:tr>
        <w:trPr>
          <w:trHeight w:val="252"/>
        </w:trPr>
        <w:tc>
          <w:tcPr>
            <w:tcW w:w="20" w:type="dxa"/>
            <w:vAlign w:val="bottom"/>
          </w:tcPr>
          <w:p>
            <w:pPr>
              <w:spacing w:after="0"/>
              <w:rPr>
                <w:sz w:val="21"/>
                <w:szCs w:val="21"/>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25"/>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173,643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(119,642)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54,001</w:t>
            </w: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177,395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(131,082)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-213360</wp:posOffset>
            </wp:positionV>
            <wp:extent cx="1028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-213360</wp:posOffset>
            </wp:positionV>
            <wp:extent cx="9461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-213360</wp:posOffset>
            </wp:positionV>
            <wp:extent cx="774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-213360</wp:posOffset>
            </wp:positionV>
            <wp:extent cx="1028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-213360</wp:posOffset>
            </wp:positionV>
            <wp:extent cx="270002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-1971040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-1971040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-1971040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-1971040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-1971040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-1971040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-1971040</wp:posOffset>
            </wp:positionV>
            <wp:extent cx="151701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w:t>
      </w:r>
    </w:p>
    <w:p>
      <w:pPr>
        <w:spacing w:after="0" w:line="16" w:lineRule="exact"/>
        <w:rPr>
          <w:sz w:val="20"/>
          <w:szCs w:val="20"/>
          <w:color w:val="auto"/>
        </w:rPr>
      </w:pPr>
    </w:p>
    <w:p>
      <w:pPr>
        <w:ind w:left="1260" w:right="799"/>
        <w:spacing w:after="0" w:line="243" w:lineRule="auto"/>
        <w:rPr>
          <w:sz w:val="20"/>
          <w:szCs w:val="20"/>
          <w:color w:val="auto"/>
        </w:rPr>
      </w:pPr>
      <w:r>
        <w:rPr>
          <w:rFonts w:ascii="Times New Roman" w:cs="Times New Roman" w:eastAsia="Times New Roman" w:hAnsi="Times New Roman"/>
          <w:sz w:val="18"/>
          <w:szCs w:val="18"/>
          <w:color w:val="auto"/>
        </w:rPr>
        <w:t>the years ended December 31, 2018 and 2019 was reflected in our consolidated statements of operations as follows:</w:t>
      </w:r>
    </w:p>
    <w:p>
      <w:pPr>
        <w:spacing w:after="0" w:line="14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6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14,213</w:t>
            </w:r>
          </w:p>
        </w:tc>
      </w:tr>
      <w:tr>
        <w:trPr>
          <w:trHeight w:val="26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6308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Amortization expense for the years following December 31, 2019 are estimated as follows: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6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64"/>
        </w:trPr>
        <w:tc>
          <w:tcPr>
            <w:tcW w:w="384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35"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 (Continued)</w:t>
      </w:r>
    </w:p>
    <w:p>
      <w:pPr>
        <w:spacing w:after="0" w:line="22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Company and Topcon each have a 50% ownership in DCW and as such, the Company applies the equity method of accounting for its investment in DCW. Under the equity method, the Company recorded its initial investment in the joint venture at cost and subsequently adjusts that investment by the Company’s proportional share of income or losses in DCW. As of December 31, 2019, the aggregate carrying amount of the Company’s investment in the joint venture was $1,725. The Company tests this investment for impairment whenever circumstances indicate that the carrying value of the investment may not be recoverable.</w:t>
      </w:r>
    </w:p>
    <w:p>
      <w:pPr>
        <w:spacing w:after="0" w:line="309" w:lineRule="exact"/>
        <w:rPr>
          <w:sz w:val="20"/>
          <w:szCs w:val="20"/>
          <w:color w:val="auto"/>
        </w:rPr>
      </w:pPr>
    </w:p>
    <w:p>
      <w:pPr>
        <w:jc w:val="both"/>
        <w:ind w:left="1260" w:right="9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Pursuant to ASC 850 -10-20,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year ended December 31, 2019, transactions between the Company and DCW were immaterial to the Company’s consolidated financial 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Accruals and Other Current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benefits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0" w:type="dxa"/>
            <w:vAlign w:val="bottom"/>
          </w:tcPr>
          <w:p>
            <w:pPr>
              <w:spacing w:after="0"/>
              <w:rPr>
                <w:sz w:val="1"/>
                <w:szCs w:val="1"/>
                <w:color w:val="auto"/>
              </w:rPr>
            </w:pPr>
          </w:p>
        </w:tc>
      </w:tr>
      <w:tr>
        <w:trPr>
          <w:trHeight w:val="25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to customers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taxes payable</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70"/>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facility costs</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70"/>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136,699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2018 and 2019: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8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revolver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258,750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258,750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-1704975</wp:posOffset>
            </wp:positionV>
            <wp:extent cx="431165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-4053840</wp:posOffset>
            </wp:positionV>
            <wp:extent cx="430339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87"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 </w:t>
      </w:r>
      <w:r>
        <w:rPr>
          <w:rFonts w:ascii="Times New Roman" w:cs="Times New Roman" w:eastAsia="Times New Roman" w:hAnsi="Times New Roman"/>
          <w:sz w:val="18"/>
          <w:szCs w:val="18"/>
          <w:color w:val="auto"/>
        </w:rPr>
        <w:t>On December 19, 2017, the Company entered into an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(the “Credit Facility”), which matures on December 18, 2022. Upon entry into the Credit</w:t>
      </w:r>
    </w:p>
    <w:p>
      <w:pPr>
        <w:sectPr>
          <w:pgSz w:w="11900" w:h="16838" w:orient="portrait"/>
          <w:cols w:equalWidth="0" w:num="1">
            <w:col w:w="10139"/>
          </w:cols>
          <w:pgMar w:left="320" w:top="114" w:right="1440" w:bottom="1440" w:gutter="0" w:footer="0" w:header="0"/>
        </w:sect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 (Continued)</w:t>
      </w:r>
    </w:p>
    <w:p>
      <w:pPr>
        <w:spacing w:after="0" w:line="229"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Facility, the Company obtained a $500,000 senior secured revolving facility and refinanced all indebtedness outstanding under its prior facility.</w:t>
      </w:r>
    </w:p>
    <w:p>
      <w:pPr>
        <w:spacing w:after="0" w:line="81"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 facility. The Company had $631 and $546 of letters of credit and surety bonds outstanding as of December 31, 2018 and 2019, respectively. As of December 31, 2018 and 2019, the Company had $240,619 and $265,704 available under the Credit Facility.</w:t>
      </w:r>
    </w:p>
    <w:p>
      <w:pPr>
        <w:spacing w:after="0" w:line="11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 Euro currency interest rate elections. Interest on the Euro currency borrowings is at the one-month London Interbank Offered Rate (“LIBOR”) plus a spread ranging from 100 basis points (“bps”) to 225 bps as determined by the Company’s net leverage ratio. Under non-Euro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120"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2018 and 2019, the Company was in compliance with all covenants in its debt agreements.</w:t>
      </w:r>
    </w:p>
    <w:p>
      <w:pPr>
        <w:spacing w:after="0" w:line="10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There was no accrued interest or fees as of December 31, 2019. As of December 31, 2018, accrued interest and fees was $31. Interest expense was $8,800 and $8,971 for the years ended December 31, 2018 and 2019, respectively.</w:t>
      </w:r>
    </w:p>
    <w:p>
      <w:pPr>
        <w:spacing w:after="0" w:line="113"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w:t>
      </w:r>
    </w:p>
    <w:p>
      <w:pPr>
        <w:spacing w:after="0" w:line="91" w:lineRule="exact"/>
        <w:rPr>
          <w:sz w:val="20"/>
          <w:szCs w:val="20"/>
          <w:color w:val="auto"/>
        </w:rPr>
      </w:pPr>
    </w:p>
    <w:p>
      <w:pPr>
        <w:ind w:left="1260" w:right="15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Interest expense related to other obligations was $255 and $207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2018 and 2019, respectively.</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Executive Bonus Plan</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 adjusted operating profits, as defined in the plan agreement and before deductions for such plan payments, 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years ended December 31, 2018 and 2019, the incentive compensation, including cash payments and deferred compensation to plan participants, recognized under this plan (net of all applicable holdbacks) was $27,641 and $31,061, respectively.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Retirement Plans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U.S.-based full-time colleagues. The Company may make discretionary profit-sharing contributions to the Plan up to a maximum of 5% of “qualified cash compensation” for each eligible participating colleague.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Retirement Plans (Continued)</w:t>
      </w:r>
    </w:p>
    <w:p>
      <w:pPr>
        <w:spacing w:after="0" w:line="229" w:lineRule="exact"/>
        <w:rPr>
          <w:sz w:val="20"/>
          <w:szCs w:val="20"/>
          <w:color w:val="auto"/>
        </w:rPr>
      </w:pPr>
    </w:p>
    <w:p>
      <w:pPr>
        <w:ind w:left="1260" w:right="859"/>
        <w:spacing w:after="0" w:line="242" w:lineRule="auto"/>
        <w:rPr>
          <w:sz w:val="20"/>
          <w:szCs w:val="20"/>
          <w:color w:val="auto"/>
        </w:rPr>
      </w:pPr>
      <w:r>
        <w:rPr>
          <w:rFonts w:ascii="Times New Roman" w:cs="Times New Roman" w:eastAsia="Times New Roman" w:hAnsi="Times New Roman"/>
          <w:sz w:val="18"/>
          <w:szCs w:val="18"/>
          <w:color w:val="auto"/>
        </w:rPr>
        <w:t>Non-discretionary (matching) 401(k) contributions to the Plan, for full-time U.S. colleagues, were $3,337 and $3,311, for the years ended December 31, 2018 and 2019, respectively. The Company also maintains various retirement benefit plans (primarily defined contribution plans) for colleagues of its international subsidiaries. Contributions to these plans were $7,613 and $8,070, for the years ended December 31, 2018 and 2019, respectively.</w:t>
      </w:r>
    </w:p>
    <w:p>
      <w:pPr>
        <w:spacing w:after="0" w:line="10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years ended December 31, 2018 or 2019.</w:t>
      </w:r>
    </w:p>
    <w:p>
      <w:pPr>
        <w:spacing w:after="0" w:line="118" w:lineRule="exact"/>
        <w:rPr>
          <w:sz w:val="20"/>
          <w:szCs w:val="20"/>
          <w:color w:val="auto"/>
        </w:rPr>
      </w:pPr>
    </w:p>
    <w:p>
      <w:pPr>
        <w:ind w:left="1260" w:right="979" w:firstLine="360"/>
        <w:spacing w:after="0" w:line="245"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$2,275 and $2,544 as of December 31, 2018 and 2019, respectively.</w:t>
      </w:r>
    </w:p>
    <w:p>
      <w:pPr>
        <w:spacing w:after="0" w:line="113"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years ended December 31, 2018 and 2019:</w:t>
      </w:r>
    </w:p>
    <w:p>
      <w:pPr>
        <w:spacing w:after="0" w:line="11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60007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DCP related compensation (income) expense</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5091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4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Common Shares — </w:t>
      </w:r>
      <w:r>
        <w:rPr>
          <w:rFonts w:ascii="Times New Roman" w:cs="Times New Roman" w:eastAsia="Times New Roman" w:hAnsi="Times New Roman"/>
          <w:sz w:val="18"/>
          <w:szCs w:val="18"/>
          <w:color w:val="auto"/>
        </w:rPr>
        <w:t>The Company amended and restated its Certificate of Incorporation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 2018 to authorize 320,000,000 shares of Class A Voting Common Stock (“Class A Common Stock”) and 600,000,000 shares of Class B Common Stock. As of December 31, 2018 and 2019, outstanding shares of Class A Common Stock totaled 11,601,757 and outstanding shares of Class B Common Stock totaled 238,681,756 and 243,241,192,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62"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16"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229" w:lineRule="exact"/>
        <w:rPr>
          <w:sz w:val="20"/>
          <w:szCs w:val="20"/>
          <w:color w:val="auto"/>
        </w:rPr>
      </w:pPr>
    </w:p>
    <w:p>
      <w:pPr>
        <w:ind w:left="1260" w:right="1079" w:firstLine="360"/>
        <w:spacing w:after="0" w:line="246"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w:t>
      </w:r>
    </w:p>
    <w:p>
      <w:pPr>
        <w:spacing w:after="0" w:line="1" w:lineRule="exact"/>
        <w:rPr>
          <w:sz w:val="20"/>
          <w:szCs w:val="20"/>
          <w:color w:val="auto"/>
        </w:rPr>
      </w:pPr>
    </w:p>
    <w:p>
      <w:pPr>
        <w:ind w:left="1260" w:right="799" w:firstLine="2"/>
        <w:spacing w:after="0" w:line="243" w:lineRule="auto"/>
        <w:tabs>
          <w:tab w:leader="none" w:pos="15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agreement from 2026 to 2030, and (iii) granted the Company the right to retain a portion of the shares that would otherwise be sold to the investor.</w:t>
      </w:r>
    </w:p>
    <w:p>
      <w:pPr>
        <w:spacing w:after="0" w:line="101"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2018, the investor acquired 5,151,019 shares of Class B Common Stock, with 2,139,466 of such shares having been repurchased by the Company and re-sold to the investor for consideration of $16,220 and 3,011,553 shares were acquired directly by the investor for consideration of $22,792.</w:t>
      </w:r>
    </w:p>
    <w:p>
      <w:pPr>
        <w:spacing w:after="0" w:line="113"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113"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During the year ended December 31, 2018, the Company issued net 2,812,998 shares of Class B Common Stock to colleagues who exercised their stock options. Of the total options exercised for 3,726,606 shares, 1,235,204 shares were issued for cash totaling $2,187, and the remaining options for 2,491,402 shares were exercised on a cashless basis, and accordingly, 913,608 shares were sold back to the Company to pay for the cost of the options as well as applicable income tax withholdings of $1,577. During 2018, the Company paid $8,571 for 1,131,928 shares sold back to the Company upon exercise of the Put and Call provisions under the amended option plan (see Note 14).</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During the year ended December 31, 2019, the Company issued net 3,214,542 shares of Class B Common Stock to colleagues who exercised their stock options. Of the total options exercised for 4,731,158 shares, 1,273,271 shares were issued for cash totaling $3,627, and the remaining options for 3,457,887 shares were exercised on a cashless basis, and accordingly, 1,516,616 shares were sold back to the Company to pay for the cost of the options as well as applicable income tax withholdings of $2,324. During the year ended December 31, 2019, the Company paid $8,838 for 1,126,747 shares sold back to the Company upon exercise of the Put and Call provisions under the amended option plan (see Note 14).</w:t>
      </w:r>
    </w:p>
    <w:p>
      <w:pPr>
        <w:spacing w:after="0" w:line="11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During the years ended December 31, 2018 and December 31, 2019, the Company issued 2,332,585 and 2,322,983, respectively, of shares of Class B Common Stock to DCP participants for their distribution. The distribution in shares for the year ended December 31, 2018 totaled 3,340,904 of which 1,008,319 shares were sold back to the Company to pay for the cost of applicable income tax withholding of $6,861. The distribution in shares for the year ended December 31, 2019 totaled 3,082,607 shares of which 759,624 shares were sold back to the Company in the same period to pay for applicable income tax withholdings of $5,609.</w:t>
      </w:r>
    </w:p>
    <w:p>
      <w:pPr>
        <w:spacing w:after="0" w:line="32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2018 and 2019, the Company repurchased 465,979 and 318,203 shares from its profit sharing plan for $3,387 and $2,417, respectively.</w:t>
      </w:r>
    </w:p>
    <w:p>
      <w:pPr>
        <w:spacing w:after="0" w:line="7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Class B Common Stock — </w:t>
      </w:r>
      <w:r>
        <w:rPr>
          <w:rFonts w:ascii="Times New Roman" w:cs="Times New Roman" w:eastAsia="Times New Roman" w:hAnsi="Times New Roman"/>
          <w:sz w:val="18"/>
          <w:szCs w:val="18"/>
          <w:color w:val="auto"/>
        </w:rPr>
        <w:t>Pursuant to the terms of the Company’s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The Company declared cash dividends during the periods presented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30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$0.080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20,005</w:t>
            </w:r>
          </w:p>
        </w:tc>
      </w:tr>
      <w:tr>
        <w:trPr>
          <w:trHeight w:val="203"/>
        </w:trPr>
        <w:tc>
          <w:tcPr>
            <w:tcW w:w="5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7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7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25,390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-2065020</wp:posOffset>
            </wp:positionV>
            <wp:extent cx="436308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Loss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$(18,540)</w:t>
            </w:r>
          </w:p>
        </w:tc>
        <w:tc>
          <w:tcPr>
            <w:tcW w:w="60" w:type="dxa"/>
            <w:vAlign w:val="bottom"/>
          </w:tcPr>
          <w:p>
            <w:pPr>
              <w:spacing w:after="0"/>
              <w:rPr>
                <w:sz w:val="21"/>
                <w:szCs w:val="21"/>
                <w:color w:val="auto"/>
              </w:rPr>
            </w:pPr>
          </w:p>
        </w:tc>
      </w:tr>
      <w:tr>
        <w:trPr>
          <w:trHeight w:val="25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(10,812)</w:t>
            </w:r>
          </w:p>
        </w:tc>
      </w:tr>
      <w:tr>
        <w:trPr>
          <w:trHeight w:val="2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(28,867)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60" w:type="dxa"/>
            <w:vAlign w:val="bottom"/>
          </w:tcPr>
          <w:p>
            <w:pPr>
              <w:spacing w:after="0"/>
              <w:rPr>
                <w:sz w:val="22"/>
                <w:szCs w:val="22"/>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2"/>
                <w:szCs w:val="22"/>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$(22,908)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$(23,927)</w:t>
            </w:r>
          </w:p>
        </w:tc>
        <w:tc>
          <w:tcPr>
            <w:tcW w:w="60" w:type="dxa"/>
            <w:vAlign w:val="bottom"/>
          </w:tcPr>
          <w:p>
            <w:pPr>
              <w:spacing w:after="0"/>
              <w:rPr>
                <w:sz w:val="22"/>
                <w:szCs w:val="22"/>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-908050</wp:posOffset>
            </wp:positionV>
            <wp:extent cx="479171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-1593850</wp:posOffset>
            </wp:positionV>
            <wp:extent cx="47834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Company has equity awards outstanding under its 2005 Stock Option Plan and 2015 Equity Incentive Plan. The 2015 Equity Incentive Plan provides for the granting of awards in the form of stock options, stock appreciation rights, dividend equivalent rights, restricted stock, restricted stock units, and stock grants. The 2005 Stock Option Plan expired in April 2015, and no further options may be granted thereunder. The 2015 Equity Incentive Plan, which has substantially similar terms to the 2005 Stock Option Plan as it relates to options, has 50,000,000 shares of Class B Common Stock reserved for issuance and terminates in November 2024.</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activity under these two stockholder-approved plans.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5"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 </w:t>
      </w:r>
      <w:r>
        <w:rPr>
          <w:rFonts w:ascii="Times New Roman" w:cs="Times New Roman" w:eastAsia="Times New Roman" w:hAnsi="Times New Roman"/>
          <w:sz w:val="18"/>
          <w:szCs w:val="18"/>
          <w:color w:val="auto"/>
        </w:rPr>
        <w:t>The Company has stock options outstanding under its 2005 Stock Option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Equity Incentive Plan. Stock options generally vest ratably on each of the first four anniversaries of the grant date. Stock options granted under these plans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w:t>
      </w:r>
    </w:p>
    <w:p>
      <w:pPr>
        <w:spacing w:after="0" w:line="2" w:lineRule="exact"/>
        <w:rPr>
          <w:sz w:val="20"/>
          <w:szCs w:val="20"/>
          <w:color w:val="auto"/>
        </w:rPr>
      </w:pPr>
    </w:p>
    <w:p>
      <w:pPr>
        <w:jc w:val="both"/>
        <w:ind w:left="1260" w:right="879"/>
        <w:spacing w:after="0" w:line="237" w:lineRule="auto"/>
        <w:rPr>
          <w:sz w:val="20"/>
          <w:szCs w:val="20"/>
          <w:color w:val="auto"/>
        </w:rPr>
      </w:pPr>
      <w:r>
        <w:rPr>
          <w:rFonts w:ascii="Times New Roman" w:cs="Times New Roman" w:eastAsia="Times New Roman" w:hAnsi="Times New Roman"/>
          <w:sz w:val="18"/>
          <w:szCs w:val="18"/>
          <w:color w:val="auto"/>
        </w:rPr>
        <w:t>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106"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The Company granted a total of 20,000 options on March 22, 2018, 5,096,000 options on May 29, 2018, and 10,000 options on September 6, 2018. The fair value of the awards was estimated on the date of grant using the Black-Scholes option pricing model. The grant date fair value of each option was $1.43, $1.46, and $1.96, respectively.</w:t>
      </w:r>
    </w:p>
    <w:p>
      <w:pPr>
        <w:spacing w:after="0" w:line="113"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Company granted a total of 4,816,000 options on March 22, 2019 and 10,000 options on May 15, 2019. The fair value of the awards was estimated on the date of grant using the Black-Scholes option pricing model. The grant date fair value of each option was $1.66 and $1.65, respectively.</w:t>
      </w:r>
    </w:p>
    <w:p>
      <w:pPr>
        <w:spacing w:after="0" w:line="105"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Options — </w:t>
      </w:r>
      <w:r>
        <w:rPr>
          <w:rFonts w:ascii="Times New Roman" w:cs="Times New Roman" w:eastAsia="Times New Roman" w:hAnsi="Times New Roman"/>
          <w:sz w:val="18"/>
          <w:szCs w:val="18"/>
          <w:color w:val="auto"/>
        </w:rPr>
        <w:t>In connection with an acquisition completed in March 2018, the Company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certain selling shareholder entities options to acquire an aggregate of up to 900,000 shares of Class B Common Stock. The options have a five -year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 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(see Note 1 regarding the Dividend). As of December 31, 2019, all 900,000 options remain outstanding.</w:t>
      </w:r>
    </w:p>
    <w:p>
      <w:pPr>
        <w:spacing w:after="0" w:line="102"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Grants — </w:t>
      </w:r>
      <w:r>
        <w:rPr>
          <w:rFonts w:ascii="Times New Roman" w:cs="Times New Roman" w:eastAsia="Times New Roman" w:hAnsi="Times New Roman"/>
          <w:sz w:val="18"/>
          <w:szCs w:val="18"/>
          <w:color w:val="auto"/>
        </w:rPr>
        <w:t>Under the 2015 Equity Incentive Plan, the Company may grant unrestricted, fully 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B Common Stock to eligible colleagues. Any such shares awarded have Put and Call rights similar to those described above with respect to stock options.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2018 or 2019.</w:t>
      </w:r>
    </w:p>
    <w:p>
      <w:pPr>
        <w:spacing w:after="0" w:line="154" w:lineRule="exact"/>
        <w:rPr>
          <w:sz w:val="20"/>
          <w:szCs w:val="20"/>
          <w:color w:val="auto"/>
        </w:rPr>
      </w:pPr>
    </w:p>
    <w:p>
      <w:pPr>
        <w:ind w:left="1260" w:right="129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 </w:t>
      </w:r>
      <w:r>
        <w:rPr>
          <w:rFonts w:ascii="Times New Roman" w:cs="Times New Roman" w:eastAsia="Times New Roman" w:hAnsi="Times New Roman"/>
          <w:sz w:val="18"/>
          <w:szCs w:val="18"/>
          <w:color w:val="auto"/>
        </w:rPr>
        <w:t>Under the 2015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shares of restricted Class B Common Stock to eligible colleagues.</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During the year ended December 31, 2018, the Company granted 512,616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2018. These restricted shares carried dividend, but not voting rights. During the year ended December 31, 2018, the performance conditions to vesting were satisfied in respect of 451,784 of these shares, of which 76,375 shares were sold back to the Company to settle applicable income tax withholdings of $610. An additional 4,798 shares were sold back to the Company to settle applicable income tax withholdings of $27, related to performance shares that were vested in 2017 and</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260" w:right="799"/>
        <w:spacing w:after="0" w:line="250" w:lineRule="auto"/>
        <w:rPr>
          <w:sz w:val="20"/>
          <w:szCs w:val="20"/>
          <w:color w:val="auto"/>
        </w:rPr>
      </w:pPr>
      <w:r>
        <w:rPr>
          <w:rFonts w:ascii="Times New Roman" w:cs="Times New Roman" w:eastAsia="Times New Roman" w:hAnsi="Times New Roman"/>
          <w:sz w:val="18"/>
          <w:szCs w:val="18"/>
          <w:color w:val="auto"/>
        </w:rPr>
        <w:t>delivered to participants in the year ended December 31, 2018. Additionally, during the year ended December 31, 2018, the Company granted 57,670 shares of restricted stock to a colleague. These restricted shares carry dividend but not voting rights, and are subject to a three-year service condition.</w:t>
      </w:r>
    </w:p>
    <w:p>
      <w:pPr>
        <w:spacing w:after="0" w:line="96"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2019, the Company granted 493,840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year ended December 31, 2019, the performance conditions to vesting were satisfied in respect of 241,709 of these shares, of which 25,677 shares were sold back to the Company to settle applicable income tax withholdings of $192. An additional 23,343 shares were sold back to the Company to settle applicable income tax withholdings of $169, related to performance shares that were vested in 2018 and delivered to participants in the year ended December 31, 2019.</w:t>
      </w:r>
    </w:p>
    <w:p>
      <w:pPr>
        <w:spacing w:after="0" w:line="117"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 </w:t>
      </w:r>
      <w:r>
        <w:rPr>
          <w:rFonts w:ascii="Times New Roman" w:cs="Times New Roman" w:eastAsia="Times New Roman" w:hAnsi="Times New Roman"/>
          <w:sz w:val="18"/>
          <w:szCs w:val="18"/>
          <w:color w:val="auto"/>
        </w:rPr>
        <w:t>Under the 2015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based restricted stock units (“RSUs”) to eligible colleagues, which entitle the grantee to receive a specific number of shares of our Class B Common Stock upon vesting. These shares also have dividend equivalent rights.</w:t>
      </w:r>
    </w:p>
    <w:p>
      <w:pPr>
        <w:spacing w:after="0" w:line="11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No restricted stock units were granted during the years ended December 31, 2018 or 2019.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year ended December 31, 2019, 16,746 shares were delivered to colleagues and 5,398 shares were sold back to the Company to settle income tax withholdings of $39. As of December 31, 2018 and 2019, 70,687 and 54,771, respectively, of these RSUs remained outstanding.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23"/>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18,629,380</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$5.38</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r>
      <w:tr>
        <w:trPr>
          <w:trHeight w:val="25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activity:</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5,126,000</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- 8.67</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6.81</w:t>
            </w:r>
          </w:p>
        </w:tc>
      </w:tr>
      <w:tr>
        <w:trPr>
          <w:trHeight w:val="25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(3,738,182)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- 5.38</w:t>
            </w:r>
          </w:p>
        </w:tc>
        <w:tc>
          <w:tcPr>
            <w:tcW w:w="22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w:t>
            </w:r>
          </w:p>
        </w:tc>
      </w:tr>
      <w:tr>
        <w:trPr>
          <w:trHeight w:val="26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(502,750)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- 8.67</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w:t>
            </w:r>
          </w:p>
        </w:tc>
      </w:tr>
      <w:tr>
        <w:trPr>
          <w:trHeight w:val="310"/>
        </w:trPr>
        <w:tc>
          <w:tcPr>
            <w:tcW w:w="51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220" w:type="dxa"/>
            <w:vAlign w:val="bottom"/>
            <w:tcBorders>
              <w:top w:val="single" w:sz="8" w:color="CCEEFF"/>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19,514,448</w:t>
            </w:r>
          </w:p>
        </w:tc>
        <w:tc>
          <w:tcPr>
            <w:tcW w:w="220" w:type="dxa"/>
            <w:vAlign w:val="bottom"/>
            <w:tcBorders>
              <w:top w:val="single" w:sz="8" w:color="CCEEFF"/>
              <w:bottom w:val="single" w:sz="8" w:color="CCEEFF"/>
            </w:tcBorders>
          </w:tcPr>
          <w:p>
            <w:pPr>
              <w:spacing w:after="0"/>
              <w:rPr>
                <w:sz w:val="24"/>
                <w:szCs w:val="24"/>
                <w:color w:val="auto"/>
              </w:rPr>
            </w:pPr>
          </w:p>
        </w:tc>
        <w:tc>
          <w:tcPr>
            <w:tcW w:w="4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$1.79</w:t>
            </w:r>
          </w:p>
        </w:tc>
        <w:tc>
          <w:tcPr>
            <w:tcW w:w="56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$6.81</w:t>
            </w:r>
          </w:p>
        </w:tc>
        <w:tc>
          <w:tcPr>
            <w:tcW w:w="220" w:type="dxa"/>
            <w:vAlign w:val="bottom"/>
            <w:tcBorders>
              <w:top w:val="single" w:sz="8" w:color="CCEEFF"/>
              <w:bottom w:val="single" w:sz="8" w:color="CCEEFF"/>
            </w:tcBorders>
          </w:tcPr>
          <w:p>
            <w:pPr>
              <w:spacing w:after="0"/>
              <w:rPr>
                <w:sz w:val="24"/>
                <w:szCs w:val="24"/>
                <w:color w:val="auto"/>
              </w:rPr>
            </w:pPr>
          </w:p>
        </w:tc>
        <w:tc>
          <w:tcPr>
            <w:tcW w:w="620" w:type="dxa"/>
            <w:vAlign w:val="bottom"/>
            <w:tcBorders>
              <w:top w:val="single" w:sz="8" w:color="CCEEFF"/>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w:t>
            </w:r>
          </w:p>
        </w:tc>
      </w:tr>
      <w:tr>
        <w:trPr>
          <w:trHeight w:val="197"/>
        </w:trPr>
        <w:tc>
          <w:tcPr>
            <w:tcW w:w="5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Option activity: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5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4,826,000</w:t>
            </w:r>
          </w:p>
        </w:tc>
        <w:tc>
          <w:tcPr>
            <w:tcW w:w="220" w:type="dxa"/>
            <w:vAlign w:val="bottom"/>
          </w:tcPr>
          <w:p>
            <w:pPr>
              <w:spacing w:after="0"/>
              <w:rPr>
                <w:sz w:val="22"/>
                <w:szCs w:val="22"/>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7.24</w:t>
            </w: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(4,731,158)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- 6.81</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r>
      <w:tr>
        <w:trPr>
          <w:trHeight w:val="277"/>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(917,623)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22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5.82</w:t>
            </w:r>
          </w:p>
        </w:tc>
      </w:tr>
      <w:tr>
        <w:trPr>
          <w:trHeight w:val="284"/>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w:t>
            </w:r>
          </w:p>
        </w:tc>
        <w:tc>
          <w:tcPr>
            <w:tcW w:w="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$5.97</w:t>
            </w:r>
          </w:p>
        </w:tc>
      </w:tr>
      <w:tr>
        <w:trPr>
          <w:trHeight w:val="20"/>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-213360</wp:posOffset>
            </wp:positionV>
            <wp:extent cx="52120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-1902460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-1902460</wp:posOffset>
            </wp:positionV>
            <wp:extent cx="40462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7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2018 and 2019, options and other equity awards available for future grants under the 2015 Equity Incentive Plan were 30,607,529 and 28,101,504, respectively.</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8" w:name="page249"/>
    <w:bookmarkEnd w:id="24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7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720" w:type="dxa"/>
            <w:vAlign w:val="bottom"/>
          </w:tcPr>
          <w:p>
            <w:pPr>
              <w:spacing w:after="0"/>
              <w:rPr>
                <w:sz w:val="14"/>
                <w:szCs w:val="14"/>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r>
      <w:tr>
        <w:trPr>
          <w:trHeight w:val="23"/>
        </w:trPr>
        <w:tc>
          <w:tcPr>
            <w:tcW w:w="4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 – $4.00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1,978,256</w:t>
            </w: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1,978,256</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4.01 – 6.00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7,450,203</w:t>
            </w: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4,469,866</w:t>
            </w: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 $7.24</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9,263,208</w:t>
            </w:r>
          </w:p>
        </w:tc>
        <w:tc>
          <w:tcPr>
            <w:tcW w:w="10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1,125,708</w:t>
            </w:r>
          </w:p>
        </w:tc>
      </w:tr>
      <w:tr>
        <w:trPr>
          <w:trHeight w:val="26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7,573,830</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-710565</wp:posOffset>
            </wp:positionV>
            <wp:extent cx="137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-710565</wp:posOffset>
            </wp:positionV>
            <wp:extent cx="1371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-710565</wp:posOffset>
            </wp:positionV>
            <wp:extent cx="1371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received cash proceeds of $2,179 and $3,612, respectively, related to the exercise of stock options.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2"/>
        </w:trPr>
        <w:tc>
          <w:tcPr>
            <w:tcW w:w="3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62"/>
        </w:trPr>
        <w:tc>
          <w:tcPr>
            <w:tcW w:w="36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Intrinsic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r>
      <w:tr>
        <w:trPr>
          <w:trHeight w:val="190"/>
        </w:trPr>
        <w:tc>
          <w:tcPr>
            <w:tcW w:w="36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r>
      <w:tr>
        <w:trPr>
          <w:trHeight w:val="23"/>
        </w:trPr>
        <w:tc>
          <w:tcPr>
            <w:tcW w:w="3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December 31, 2019</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$5.97</w:t>
            </w:r>
          </w:p>
        </w:tc>
        <w:tc>
          <w:tcPr>
            <w:tcW w:w="86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$91,028</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7,573,830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w:t>
            </w:r>
          </w:p>
        </w:tc>
        <w:tc>
          <w:tcPr>
            <w:tcW w:w="86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9"/>
              </w:rPr>
              <w:t>$43,852</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-496570</wp:posOffset>
            </wp:positionV>
            <wp:extent cx="1371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-496570</wp:posOffset>
            </wp:positionV>
            <wp:extent cx="13716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296608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7"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In the years ended December 31, 2018 and 2019, the Company recorded $4,808 and $6,342, respectively, of stock-based compensation expense related to stock options and $3,074 and $1,749, respectively, of compensation expense in connection with restricted stock. As of December 31, 2019, there was $ 11,911 of unrecognized compensation cost related to unvested stock options, which is expected to be recognized over a weighted average period of approximately 2.6 years.</w:t>
      </w:r>
    </w:p>
    <w:p>
      <w:pPr>
        <w:spacing w:after="0" w:line="11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years ended December 31, 2018 and 2019 was $18,291 and $22,914, respectively.</w:t>
      </w:r>
    </w:p>
    <w:p>
      <w:pPr>
        <w:spacing w:after="0" w:line="81" w:lineRule="exact"/>
        <w:rPr>
          <w:sz w:val="20"/>
          <w:szCs w:val="20"/>
          <w:color w:val="auto"/>
        </w:rPr>
      </w:pPr>
    </w:p>
    <w:p>
      <w:pPr>
        <w:ind w:left="1260" w:right="939" w:firstLine="360"/>
        <w:spacing w:after="0" w:line="241"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 -based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114" w:lineRule="exact"/>
        <w:rPr>
          <w:sz w:val="20"/>
          <w:szCs w:val="20"/>
          <w:color w:val="auto"/>
        </w:rPr>
      </w:pPr>
    </w:p>
    <w:p>
      <w:pPr>
        <w:ind w:left="1620" w:right="67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common stock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by taking 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324" w:lineRule="exact"/>
        <w:rPr>
          <w:sz w:val="20"/>
          <w:szCs w:val="20"/>
          <w:color w:val="auto"/>
        </w:rPr>
      </w:pPr>
    </w:p>
    <w:p>
      <w:pPr>
        <w:ind w:left="1620"/>
        <w:spacing w:after="0"/>
        <w:tabs>
          <w:tab w:leader="none" w:pos="3600" w:val="left"/>
        </w:tabs>
        <w:rPr>
          <w:sz w:val="20"/>
          <w:szCs w:val="20"/>
          <w:color w:val="auto"/>
        </w:rPr>
      </w:pPr>
      <w:r>
        <w:rPr>
          <w:rFonts w:ascii="Times New Roman" w:cs="Times New Roman" w:eastAsia="Times New Roman" w:hAnsi="Times New Roman"/>
          <w:sz w:val="18"/>
          <w:szCs w:val="18"/>
          <w:i w:val="1"/>
          <w:iCs w:val="1"/>
          <w:color w:val="auto"/>
        </w:rPr>
        <w:t>Expected dividend yield.</w:t>
      </w:r>
      <w:r>
        <w:rPr>
          <w:sz w:val="20"/>
          <w:szCs w:val="20"/>
          <w:color w:val="auto"/>
        </w:rPr>
        <w:tab/>
      </w:r>
      <w:r>
        <w:rPr>
          <w:rFonts w:ascii="Times New Roman" w:cs="Times New Roman" w:eastAsia="Times New Roman" w:hAnsi="Times New Roman"/>
          <w:sz w:val="18"/>
          <w:szCs w:val="18"/>
          <w:color w:val="auto"/>
        </w:rPr>
        <w:t>Prior to 2015, the Company had never declared or paid a cash dividend.</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 for all option grants prior to 2015.</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620" w:right="679"/>
        <w:spacing w:after="0" w:line="256" w:lineRule="auto"/>
        <w:rPr>
          <w:sz w:val="20"/>
          <w:szCs w:val="20"/>
          <w:color w:val="auto"/>
        </w:rPr>
      </w:pPr>
      <w:r>
        <w:rPr>
          <w:rFonts w:ascii="Times New Roman" w:cs="Times New Roman" w:eastAsia="Times New Roman" w:hAnsi="Times New Roman"/>
          <w:sz w:val="18"/>
          <w:szCs w:val="18"/>
          <w:color w:val="auto"/>
        </w:rPr>
        <w:t>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104" w:lineRule="exact"/>
        <w:rPr>
          <w:sz w:val="20"/>
          <w:szCs w:val="20"/>
          <w:color w:val="auto"/>
        </w:rPr>
      </w:pPr>
    </w:p>
    <w:p>
      <w:pPr>
        <w:ind w:left="1620" w:right="7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stock-based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simplified method, which represents the average period from vesting to the expiration of the award.</w:t>
      </w:r>
    </w:p>
    <w:p>
      <w:pPr>
        <w:spacing w:after="0" w:line="106" w:lineRule="exact"/>
        <w:rPr>
          <w:sz w:val="20"/>
          <w:szCs w:val="20"/>
          <w:color w:val="auto"/>
        </w:rPr>
      </w:pPr>
    </w:p>
    <w:p>
      <w:pPr>
        <w:ind w:left="1620" w:right="1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options for each option group.</w:t>
      </w:r>
    </w:p>
    <w:p>
      <w:pPr>
        <w:spacing w:after="0" w:line="10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4840" w:type="dxa"/>
            <w:vAlign w:val="bottom"/>
          </w:tcPr>
          <w:p>
            <w:pPr>
              <w:spacing w:after="0"/>
              <w:rPr>
                <w:sz w:val="17"/>
                <w:szCs w:val="17"/>
                <w:color w:val="auto"/>
              </w:rPr>
            </w:pP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7"/>
                <w:szCs w:val="17"/>
                <w:color w:val="auto"/>
              </w:rPr>
            </w:pPr>
          </w:p>
        </w:tc>
      </w:tr>
      <w:tr>
        <w:trPr>
          <w:trHeight w:val="23"/>
        </w:trPr>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rPr>
              <w:t>26.32% – 27.18%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23"/>
                <w:szCs w:val="23"/>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1920" w:type="dxa"/>
            <w:vAlign w:val="bottom"/>
            <w:gridSpan w:val="2"/>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-505460</wp:posOffset>
            </wp:positionV>
            <wp:extent cx="4749165" cy="1631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-839470</wp:posOffset>
            </wp:positionV>
            <wp:extent cx="4749165" cy="1714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37"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108" w:lineRule="exact"/>
        <w:rPr>
          <w:sz w:val="20"/>
          <w:szCs w:val="20"/>
          <w:color w:val="auto"/>
        </w:rPr>
      </w:pPr>
    </w:p>
    <w:p>
      <w:pPr>
        <w:ind w:left="1260" w:right="739" w:firstLine="360"/>
        <w:spacing w:after="0" w:line="281" w:lineRule="auto"/>
        <w:rPr>
          <w:sz w:val="20"/>
          <w:szCs w:val="20"/>
          <w:color w:val="auto"/>
        </w:rPr>
      </w:pPr>
      <w:r>
        <w:rPr>
          <w:rFonts w:ascii="Times New Roman" w:cs="Times New Roman" w:eastAsia="Times New Roman" w:hAnsi="Times New Roman"/>
          <w:sz w:val="18"/>
          <w:szCs w:val="18"/>
          <w:color w:val="auto"/>
        </w:rPr>
        <w:t>The Company paid $8,571 and $8,838 during the years ended December 31, 2018 and 2019, respectively, to stockholders who exercised their options and elected to sell the shares back to the Company after the mandatory six-month holding period.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17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22225</wp:posOffset>
            </wp:positionV>
            <wp:extent cx="101981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61,691</w:t>
            </w:r>
          </w:p>
        </w:tc>
      </w:tr>
      <w:tr>
        <w:trPr>
          <w:trHeight w:val="264"/>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66,418</w:t>
            </w:r>
          </w:p>
        </w:tc>
      </w:tr>
      <w:tr>
        <w:trPr>
          <w:trHeight w:val="25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112,862</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128,109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3116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430339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at December 31, 2018 and 2019:</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90"/>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8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$ 18,634</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tcPr>
          <w:p>
            <w:pPr>
              <w:spacing w:after="0"/>
              <w:rPr>
                <w:sz w:val="22"/>
                <w:szCs w:val="22"/>
                <w:color w:val="auto"/>
              </w:rPr>
            </w:pPr>
          </w:p>
        </w:tc>
      </w:tr>
      <w:tr>
        <w:trPr>
          <w:trHeight w:val="25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60" w:type="dxa"/>
            <w:vAlign w:val="bottom"/>
          </w:tcPr>
          <w:p>
            <w:pPr>
              <w:spacing w:after="0"/>
              <w:rPr>
                <w:sz w:val="22"/>
                <w:szCs w:val="22"/>
                <w:color w:val="auto"/>
              </w:rPr>
            </w:pPr>
          </w:p>
        </w:tc>
      </w:tr>
      <w:tr>
        <w:trPr>
          <w:trHeight w:val="26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12,824</w:t>
            </w:r>
          </w:p>
        </w:tc>
        <w:tc>
          <w:tcPr>
            <w:tcW w:w="6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23,006</w:t>
            </w:r>
          </w:p>
        </w:tc>
        <w:tc>
          <w:tcPr>
            <w:tcW w:w="60" w:type="dxa"/>
            <w:vAlign w:val="bottom"/>
          </w:tcPr>
          <w:p>
            <w:pPr>
              <w:spacing w:after="0"/>
              <w:rPr>
                <w:sz w:val="22"/>
                <w:szCs w:val="22"/>
                <w:color w:val="auto"/>
              </w:rPr>
            </w:pPr>
          </w:p>
        </w:tc>
      </w:tr>
      <w:tr>
        <w:trPr>
          <w:trHeight w:val="257"/>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60" w:type="dxa"/>
            <w:vAlign w:val="bottom"/>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(52,913)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(2,069)</w:t>
            </w:r>
          </w:p>
        </w:tc>
        <w:tc>
          <w:tcPr>
            <w:tcW w:w="6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(60,060)</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$(29,250)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23,738</w:t>
            </w:r>
          </w:p>
        </w:tc>
        <w:tc>
          <w:tcPr>
            <w:tcW w:w="60" w:type="dxa"/>
            <w:vAlign w:val="bottom"/>
          </w:tcPr>
          <w:p>
            <w:pPr>
              <w:spacing w:after="0"/>
              <w:rPr>
                <w:sz w:val="22"/>
                <w:szCs w:val="22"/>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-1233805</wp:posOffset>
            </wp:positionV>
            <wp:extent cx="437197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-1902460</wp:posOffset>
            </wp:positionV>
            <wp:extent cx="436308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1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21.0%</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2"/>
                <w:szCs w:val="22"/>
                <w:color w:val="auto"/>
              </w:rPr>
            </w:pP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reserves</w:t>
            </w: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sales of certain operating assets</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2"/>
                <w:szCs w:val="22"/>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 on foreign earnings (GILTI and FDII)</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2"/>
                <w:szCs w:val="22"/>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reform</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r>
      <w:tr>
        <w:trPr>
          <w:trHeight w:val="27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18.5%</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-1379220</wp:posOffset>
            </wp:positionV>
            <wp:extent cx="4749165" cy="1625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-2039620</wp:posOffset>
            </wp:positionV>
            <wp:extent cx="4749165" cy="1714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18"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 foreign subsidiaries. The sales resulted in a 2018 net tax benefit of $46,369. The Company early adopted ASU 2016-16 as of January 1, 2018. Refer to Recently Adopted Accounting Guidance in Note 2.</w:t>
      </w:r>
    </w:p>
    <w:p>
      <w:pPr>
        <w:spacing w:after="0" w:line="10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deferred tax assets and liabilities: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840" w:type="dxa"/>
            <w:vAlign w:val="bottom"/>
          </w:tcPr>
          <w:p>
            <w:pPr>
              <w:spacing w:after="0"/>
              <w:rPr>
                <w:sz w:val="17"/>
                <w:szCs w:val="17"/>
                <w:color w:val="auto"/>
              </w:rPr>
            </w:pPr>
          </w:p>
        </w:tc>
        <w:tc>
          <w:tcPr>
            <w:tcW w:w="82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accruals and DCP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$36,195</w:t>
            </w:r>
          </w:p>
        </w:tc>
        <w:tc>
          <w:tcPr>
            <w:tcW w:w="60" w:type="dxa"/>
            <w:vAlign w:val="bottom"/>
          </w:tcPr>
          <w:p>
            <w:pPr>
              <w:spacing w:after="0"/>
              <w:rPr>
                <w:sz w:val="22"/>
                <w:szCs w:val="22"/>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including goodwill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60" w:type="dxa"/>
            <w:vAlign w:val="bottom"/>
          </w:tcPr>
          <w:p>
            <w:pPr>
              <w:spacing w:after="0"/>
              <w:rPr>
                <w:sz w:val="22"/>
                <w:szCs w:val="22"/>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22"/>
                <w:szCs w:val="22"/>
                <w:color w:val="auto"/>
              </w:rPr>
            </w:pPr>
          </w:p>
        </w:tc>
      </w:tr>
      <w:tr>
        <w:trPr>
          <w:trHeight w:val="25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60" w:type="dxa"/>
            <w:vAlign w:val="bottom"/>
          </w:tcPr>
          <w:p>
            <w:pPr>
              <w:spacing w:after="0"/>
              <w:rPr>
                <w:sz w:val="22"/>
                <w:szCs w:val="22"/>
                <w:color w:val="auto"/>
              </w:rPr>
            </w:pPr>
          </w:p>
        </w:tc>
      </w:tr>
      <w:tr>
        <w:trPr>
          <w:trHeight w:val="263"/>
        </w:trPr>
        <w:tc>
          <w:tcPr>
            <w:tcW w:w="5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2"/>
                <w:szCs w:val="22"/>
                <w:color w:val="auto"/>
              </w:rPr>
            </w:pPr>
          </w:p>
        </w:tc>
      </w:tr>
      <w:tr>
        <w:trPr>
          <w:trHeight w:val="263"/>
        </w:trPr>
        <w:tc>
          <w:tcPr>
            <w:tcW w:w="58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70,867</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57,647</w:t>
            </w:r>
          </w:p>
        </w:tc>
        <w:tc>
          <w:tcPr>
            <w:tcW w:w="60" w:type="dxa"/>
            <w:vAlign w:val="bottom"/>
          </w:tcPr>
          <w:p>
            <w:pPr>
              <w:spacing w:after="0"/>
              <w:rPr>
                <w:sz w:val="22"/>
                <w:szCs w:val="22"/>
                <w:color w:val="auto"/>
              </w:rPr>
            </w:pPr>
          </w:p>
        </w:tc>
      </w:tr>
      <w:tr>
        <w:trPr>
          <w:trHeight w:val="257"/>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60" w:type="dxa"/>
            <w:vAlign w:val="bottom"/>
          </w:tcPr>
          <w:p>
            <w:pPr>
              <w:spacing w:after="0"/>
              <w:rPr>
                <w:sz w:val="23"/>
                <w:szCs w:val="23"/>
                <w:color w:val="auto"/>
              </w:rPr>
            </w:pPr>
          </w:p>
        </w:tc>
      </w:tr>
      <w:tr>
        <w:trPr>
          <w:trHeight w:val="27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tcPr>
          <w:p>
            <w:pPr>
              <w:spacing w:after="0"/>
              <w:rPr>
                <w:sz w:val="23"/>
                <w:szCs w:val="23"/>
                <w:color w:val="auto"/>
              </w:rPr>
            </w:pPr>
          </w:p>
        </w:tc>
      </w:tr>
      <w:tr>
        <w:trPr>
          <w:trHeight w:val="27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4"/>
                <w:szCs w:val="24"/>
                <w:color w:val="auto"/>
              </w:rPr>
            </w:pPr>
          </w:p>
        </w:tc>
      </w:tr>
      <w:tr>
        <w:trPr>
          <w:trHeight w:val="277"/>
        </w:trPr>
        <w:tc>
          <w:tcPr>
            <w:tcW w:w="5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60" w:type="dxa"/>
            <w:vAlign w:val="bottom"/>
          </w:tcPr>
          <w:p>
            <w:pPr>
              <w:spacing w:after="0"/>
              <w:rPr>
                <w:sz w:val="24"/>
                <w:szCs w:val="24"/>
                <w:color w:val="auto"/>
              </w:rPr>
            </w:pPr>
          </w:p>
        </w:tc>
      </w:tr>
      <w:tr>
        <w:trPr>
          <w:trHeight w:val="27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$42,808</w:t>
            </w:r>
          </w:p>
        </w:tc>
        <w:tc>
          <w:tcPr>
            <w:tcW w:w="60" w:type="dxa"/>
            <w:vAlign w:val="bottom"/>
          </w:tcPr>
          <w:p>
            <w:pPr>
              <w:spacing w:after="0"/>
              <w:rPr>
                <w:sz w:val="24"/>
                <w:szCs w:val="24"/>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-213995</wp:posOffset>
            </wp:positionV>
            <wp:extent cx="437197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-1276350</wp:posOffset>
            </wp:positionV>
            <wp:extent cx="437197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-2922270</wp:posOffset>
            </wp:positionV>
            <wp:extent cx="436308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1"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The federal net operating loss (“NOL”) carryforwards with a future benefit of $424 expire in 2033 through 2036. The Canadian credit carryforwards of $801 have an indefinite carryforward. The Company’s state NOL carryforwards and state credit carryforwards with a future benefit of $867 expire in 2020 through 2039. In addition, the Company has foreign NOL and credit carryforwards with a future benefit of $7,436 (net of a $2,016 valuation allowance), which predominately have indefinite expirations.</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Some transactions can change the aggregate ownership of certain stockholders, which could cause a shift in the ownership of the Company, which pursuant to Internal Revenue Code (“IRC”) Section 382 could then limit on an annual basis the Company’s ability to utilize its U.S. federal NOL carryforwards (and possibly its state NOL carryforwards as well). If that occurred, the Company’s NOL carryforwards would continue to be available to offset taxable income and tax liabilities in future years (until such NOL carryforwards are either used or expire) subject to any IRC Section 382 annual limitation.</w:t>
      </w:r>
    </w:p>
    <w:p>
      <w:pPr>
        <w:spacing w:after="0" w:line="103"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by considering both positive and negative evidence related to whether it is more likely than not that the deferred tax assets will be realized. In evaluating the need for a valuation allowance, the Company considers a cumulative loss in recent years as a significant piece of negative evidence.</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has recorded a valuation allowance against its net deferred tax assets of $2,082 and $2,329, respectively. The valuation allowance is principally related to the U.K. net operating losses for which the Company has determined that realization is not more likely than not.</w:t>
      </w:r>
    </w:p>
    <w:p>
      <w:pPr>
        <w:spacing w:after="0" w:line="95" w:lineRule="exact"/>
        <w:rPr>
          <w:sz w:val="20"/>
          <w:szCs w:val="20"/>
          <w:color w:val="auto"/>
        </w:rPr>
      </w:pPr>
    </w:p>
    <w:p>
      <w:pPr>
        <w:ind w:left="1260" w:right="999" w:firstLine="360"/>
        <w:spacing w:after="0" w:line="259" w:lineRule="auto"/>
        <w:rPr>
          <w:sz w:val="20"/>
          <w:szCs w:val="20"/>
          <w:color w:val="auto"/>
        </w:rPr>
      </w:pPr>
      <w:r>
        <w:rPr>
          <w:rFonts w:ascii="Times New Roman" w:cs="Times New Roman" w:eastAsia="Times New Roman" w:hAnsi="Times New Roman"/>
          <w:sz w:val="18"/>
          <w:szCs w:val="18"/>
          <w:color w:val="auto"/>
        </w:rPr>
        <w:t>On December 22, 2017, the Act 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completed its accounting for the effects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2" w:name="page253"/>
    <w:bookmarkEnd w:id="25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27" w:lineRule="exact"/>
        <w:rPr>
          <w:sz w:val="20"/>
          <w:szCs w:val="20"/>
          <w:color w:val="auto"/>
        </w:rPr>
      </w:pPr>
    </w:p>
    <w:p>
      <w:pPr>
        <w:jc w:val="both"/>
        <w:ind w:left="1260" w:right="679"/>
        <w:spacing w:after="0" w:line="251" w:lineRule="auto"/>
        <w:rPr>
          <w:sz w:val="20"/>
          <w:szCs w:val="20"/>
          <w:color w:val="auto"/>
        </w:rPr>
      </w:pPr>
      <w:r>
        <w:rPr>
          <w:rFonts w:ascii="Times New Roman" w:cs="Times New Roman" w:eastAsia="Times New Roman" w:hAnsi="Times New Roman"/>
          <w:sz w:val="18"/>
          <w:szCs w:val="18"/>
          <w:color w:val="auto"/>
        </w:rPr>
        <w:t xml:space="preserve">of the Act in 2018 and has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 of operations. The Company will elect to pay the liability for the deemed repatriation of foreign earnings in installments, as specified by the Act.</w:t>
      </w:r>
    </w:p>
    <w:p>
      <w:pPr>
        <w:spacing w:after="0" w:line="95"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Additionally, the Act requires certain Global Intangible Low-Taxed Income (“GILTI”) earned by a controlled foreign corporation (“CFC”) to be included in the gross income of the CFC’s U.S. shareholder. The Company has elected the “period cost method” and treats taxes due on future U.S. inclusions in taxable income related to GILTI as a current-period expense when incurred. The Act allows a U.S. corporation a deduction equal to a certain percentage of its foreign-derived intangible income (“FDII”). The Company estimated the impact of the GILTI tax and FDII deduction in determining its 2019 annual effective tax rate that is reflected in its provision for income taxes for the year ended December 31, 2019.</w:t>
      </w:r>
    </w:p>
    <w:p>
      <w:pPr>
        <w:spacing w:after="0" w:line="117"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As of December 31, 2019, the Company has accumulated undistributed earnings generated by its foreign subsidiaries of approximately $ 408,582, of which $359,724 was subject to the one- time transition tax on foreign earnings required by the Act and the tax on GILTI. The Company intends to indefinitely reinvest these earnings, as well as future earnings from its foreign subsidiaries, in order to fund its international operations. In addition, the Company expects future U.S. cash generation will be sufficient to meet future U.S. cash needs. The Company has not provided for any additional outside basis difference inherent in its foreign subsidiaries, as these amounts continue to be indefinitely reinvested in foreign operations. Determining the amount of unrecognized deferred tax liability related to any additional outside basis difference in these entities is not practicable.</w:t>
      </w:r>
    </w:p>
    <w:p>
      <w:pPr>
        <w:spacing w:after="0" w:line="1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indefinite reversal criteria, the foreign currency translation adjustments recorded in other comprehensive loss related to the foreign currency translations have not been tax effected.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w:t>
      </w:r>
    </w:p>
    <w:p>
      <w:pPr>
        <w:spacing w:after="0" w:line="19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74612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beginning of year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1,222</w:t>
            </w:r>
          </w:p>
        </w:tc>
        <w:tc>
          <w:tcPr>
            <w:tcW w:w="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2"/>
                <w:szCs w:val="22"/>
                <w:color w:val="auto"/>
              </w:rPr>
            </w:pPr>
          </w:p>
        </w:tc>
      </w:tr>
      <w:tr>
        <w:trPr>
          <w:trHeight w:val="264"/>
        </w:trPr>
        <w:tc>
          <w:tcPr>
            <w:tcW w:w="6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Unrecognized tax benefit, end of year</w:t>
            </w:r>
          </w:p>
        </w:tc>
        <w:tc>
          <w:tcPr>
            <w:tcW w:w="22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$ 638</w:t>
            </w: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1,763</w:t>
            </w:r>
          </w:p>
        </w:tc>
        <w:tc>
          <w:tcPr>
            <w:tcW w:w="6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442341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1"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 xml:space="preserve">The amount of unrecognized tax benefits at December 31, 2018 and 2019 was $638 and $1,763, respectively, of which $627 and $1,733 would impact the Company’s effective tax rate if recognized. In the years ended December 31, 2018 and 2019, interest expense and penalties related to income taxes resulted in an income tax expense of $8 and $101, respectively. Interest expense and penalties are included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 Accrued interest and penalties as of December 31, 2018 and 2019 totaled $ 252 and $362, respectively. The Company records the amount of uncertain taxes expected to be paid in the next 12 months as a current liability and records the remaining amount as a non-current liability in the accompanying consolidated balance sheets.</w:t>
      </w:r>
    </w:p>
    <w:p>
      <w:pPr>
        <w:spacing w:after="0" w:line="10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numerous state and foreign jurisdictions. The Company is currently under audit in the U.K. for years 2014 through 2017. The Company believes that an adequate provision has been made for any adjustment that may result from the tax examination. The Company’s 2017 through 2019 tax years remain subject to examination by the Irish</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43" w:lineRule="exact"/>
        <w:rPr>
          <w:sz w:val="20"/>
          <w:szCs w:val="20"/>
          <w:color w:val="auto"/>
        </w:rPr>
      </w:pPr>
    </w:p>
    <w:p>
      <w:pPr>
        <w:ind w:left="1260" w:right="699"/>
        <w:spacing w:after="0" w:line="281" w:lineRule="auto"/>
        <w:rPr>
          <w:sz w:val="20"/>
          <w:szCs w:val="20"/>
          <w:color w:val="auto"/>
        </w:rPr>
      </w:pPr>
      <w:r>
        <w:rPr>
          <w:rFonts w:ascii="Times New Roman" w:cs="Times New Roman" w:eastAsia="Times New Roman" w:hAnsi="Times New Roman"/>
          <w:sz w:val="18"/>
          <w:szCs w:val="18"/>
          <w:color w:val="auto"/>
        </w:rPr>
        <w:t>Revenue Commissioners for Irish tax purposes. The Company’s 2017 through 2019 tax years remain subject to examination by the IRS. In addition, the Company is under audit in various other foreign taxing jurisdictions that are not material to the consolidated financial statements.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November 2018, the Company entered into an agreement with financial institutions to purchase call options to buy British pounds (“GBP”) with a notional amount of 65,000 GBP at a strike price of $1.375. The call options were purchased at a premium of $645. These derivative instruments do not qualify for hedge accounting and as such, are not designated as hedges. The gains or losses from changes in the fair value of such derivative instruments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The fair value of the call options in the accompanying consolidated balance sheets was $158 and $0 as of December 31, 2018 and 2019, respectively. The call options had an expiration date of February 28, 2019.</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60" w:lineRule="exact"/>
        <w:rPr>
          <w:sz w:val="20"/>
          <w:szCs w:val="20"/>
          <w:color w:val="auto"/>
        </w:rPr>
      </w:pPr>
    </w:p>
    <w:p>
      <w:pPr>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10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81"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The carrying values of the Company’s financial instruments excluding long-term debt approximate their fair value due to the short-term nature of those instruments. Additionally, as of December 31, 2018 and 2019,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337"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44" w:lineRule="exact"/>
        <w:rPr>
          <w:sz w:val="20"/>
          <w:szCs w:val="20"/>
          <w:color w:val="auto"/>
        </w:rPr>
      </w:pPr>
    </w:p>
    <w:p>
      <w:pPr>
        <w:ind w:left="1620" w:right="101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08" w:lineRule="exact"/>
        <w:rPr>
          <w:sz w:val="20"/>
          <w:szCs w:val="20"/>
          <w:color w:val="auto"/>
        </w:rPr>
      </w:pPr>
    </w:p>
    <w:p>
      <w:pPr>
        <w:ind w:left="1620" w:right="11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22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200" w:type="dxa"/>
            <w:vAlign w:val="bottom"/>
          </w:tcPr>
          <w:p>
            <w:pPr>
              <w:spacing w:after="0"/>
              <w:rPr>
                <w:sz w:val="23"/>
                <w:szCs w:val="23"/>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Call options</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9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62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$158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30,355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$4,316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50"/>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Pr>
          <w:p>
            <w:pPr>
              <w:spacing w:after="0"/>
              <w:rPr>
                <w:sz w:val="21"/>
                <w:szCs w:val="21"/>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4"/>
                <w:szCs w:val="24"/>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2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4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4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$6,599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440" w:type="dxa"/>
            <w:vAlign w:val="bottom"/>
            <w:tcBorders>
              <w:bottom w:val="single" w:sz="8" w:color="CCEEFF"/>
            </w:tcBorders>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$6,599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-3051175</wp:posOffset>
            </wp:positionV>
            <wp:extent cx="1371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-3051175</wp:posOffset>
            </wp:positionV>
            <wp:extent cx="1371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-3051175</wp:posOffset>
            </wp:positionV>
            <wp:extent cx="137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-3051175</wp:posOffset>
            </wp:positionV>
            <wp:extent cx="1371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-281940</wp:posOffset>
            </wp:positionV>
            <wp:extent cx="14605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-281940</wp:posOffset>
            </wp:positionV>
            <wp:extent cx="39090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-976630</wp:posOffset>
            </wp:positionV>
            <wp:extent cx="14605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-976630</wp:posOffset>
            </wp:positionV>
            <wp:extent cx="39090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-1328420</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-1328420</wp:posOffset>
            </wp:positionV>
            <wp:extent cx="1371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-1328420</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-1328420</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8" w:lineRule="exact"/>
        <w:rPr>
          <w:sz w:val="20"/>
          <w:szCs w:val="20"/>
          <w:color w:val="auto"/>
        </w:rPr>
      </w:pPr>
    </w:p>
    <w:p>
      <w:pPr>
        <w:ind w:left="1620" w:hanging="358"/>
        <w:spacing w:after="0"/>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accompanying consolidated balance sheets.</w:t>
      </w:r>
    </w:p>
    <w:p>
      <w:pPr>
        <w:spacing w:after="0" w:line="76"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48" w:lineRule="exact"/>
        <w:rPr>
          <w:rFonts w:ascii="Times New Roman" w:cs="Times New Roman" w:eastAsia="Times New Roman" w:hAnsi="Times New Roman"/>
          <w:sz w:val="18"/>
          <w:szCs w:val="18"/>
          <w:color w:val="auto"/>
        </w:rPr>
      </w:pPr>
    </w:p>
    <w:p>
      <w:pPr>
        <w:ind w:left="1620" w:right="739" w:hanging="358"/>
        <w:spacing w:after="0" w:line="267" w:lineRule="auto"/>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$115 and $153 as of December 31, 2018 and 2019, respectively, which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108"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years ended December 31, 2018 and 2019.</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4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080" w:type="dxa"/>
            <w:vAlign w:val="bottom"/>
          </w:tcPr>
          <w:p>
            <w:pPr>
              <w:spacing w:after="0"/>
              <w:rPr>
                <w:sz w:val="16"/>
                <w:szCs w:val="16"/>
                <w:color w:val="auto"/>
              </w:rPr>
            </w:pPr>
          </w:p>
        </w:tc>
        <w:tc>
          <w:tcPr>
            <w:tcW w:w="14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60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6080" w:type="dxa"/>
            <w:vAlign w:val="bottom"/>
          </w:tcPr>
          <w:p>
            <w:pPr>
              <w:spacing w:after="0"/>
              <w:rPr>
                <w:sz w:val="18"/>
                <w:szCs w:val="18"/>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60" w:type="dxa"/>
            <w:vAlign w:val="bottom"/>
          </w:tcPr>
          <w:p>
            <w:pPr>
              <w:spacing w:after="0"/>
              <w:rPr>
                <w:sz w:val="20"/>
                <w:szCs w:val="20"/>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4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-471170</wp:posOffset>
            </wp:positionV>
            <wp:extent cx="438023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5" w:name="page256"/>
    <w:bookmarkEnd w:id="25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9"/>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Reclassification</w:t>
            </w:r>
            <w:r>
              <w:rPr>
                <w:rFonts w:ascii="Times New Roman" w:cs="Times New Roman" w:eastAsia="Times New Roman" w:hAnsi="Times New Roman"/>
                <w:sz w:val="26"/>
                <w:szCs w:val="26"/>
                <w:color w:val="auto"/>
                <w:vertAlign w:val="superscript"/>
              </w:rPr>
              <w:t>(1)</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7"/>
        </w:trPr>
        <w:tc>
          <w:tcPr>
            <w:tcW w:w="360" w:type="dxa"/>
            <w:vAlign w:val="bottom"/>
          </w:tcPr>
          <w:p>
            <w:pPr>
              <w:spacing w:after="0"/>
              <w:rPr>
                <w:sz w:val="22"/>
                <w:szCs w:val="22"/>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$ 6,599</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-864870</wp:posOffset>
            </wp:positionV>
            <wp:extent cx="439737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10" w:lineRule="exact"/>
        <w:rPr>
          <w:sz w:val="20"/>
          <w:szCs w:val="20"/>
          <w:color w:val="auto"/>
        </w:rPr>
      </w:pPr>
    </w:p>
    <w:p>
      <w:pPr>
        <w:ind w:left="1620" w:right="699" w:hanging="358"/>
        <w:spacing w:after="0" w:line="261" w:lineRule="auto"/>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2018 acquisitions requires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44" w:lineRule="exact"/>
        <w:rPr>
          <w:sz w:val="20"/>
          <w:szCs w:val="20"/>
          <w:color w:val="auto"/>
        </w:rPr>
      </w:pPr>
    </w:p>
    <w:p>
      <w:pPr>
        <w:ind w:left="1260" w:right="9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 </w:t>
      </w:r>
      <w:r>
        <w:rPr>
          <w:rFonts w:ascii="Times New Roman" w:cs="Times New Roman" w:eastAsia="Times New Roman" w:hAnsi="Times New Roman"/>
          <w:sz w:val="18"/>
          <w:szCs w:val="18"/>
          <w:color w:val="auto"/>
        </w:rPr>
        <w:t>In the normal course of business, the Company enters into various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for goods and services. As of December 31, 2018, the non-cancellable future cash purchase commitment for services related to the provisioning of our software solutions was $15,377 through June 2020. As of December 31, 2019, such commitment was fully consumed.</w:t>
      </w:r>
    </w:p>
    <w:p>
      <w:pPr>
        <w:spacing w:after="0" w:line="109" w:lineRule="exact"/>
        <w:rPr>
          <w:sz w:val="20"/>
          <w:szCs w:val="20"/>
          <w:color w:val="auto"/>
        </w:rPr>
      </w:pPr>
    </w:p>
    <w:p>
      <w:pPr>
        <w:ind w:left="1260" w:right="8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 leases certain facilities, cars, and equipment under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initial or remaining non-cancellable terms in excess of one year.</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future minimum lease payments for the years following December 31, 2019 are as follows: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6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64"/>
        </w:trPr>
        <w:tc>
          <w:tcPr>
            <w:tcW w:w="384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5"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Rent expense is recorded on straight-line basis over the life of the lease. During the years ended December 31, 2018 and 2019, total rent expense was $16,726 and $17,036, respectively.</w:t>
      </w:r>
    </w:p>
    <w:p>
      <w:pPr>
        <w:spacing w:after="0" w:line="77" w:lineRule="exact"/>
        <w:rPr>
          <w:sz w:val="20"/>
          <w:szCs w:val="20"/>
          <w:color w:val="auto"/>
        </w:rPr>
      </w:pPr>
    </w:p>
    <w:p>
      <w:pPr>
        <w:ind w:left="1260" w:right="69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From time to time, the Company is involved in certain legal actions arising in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course of business. In management’s opinion, based upon the advice of counsel, the outcome of such actions is not expected to have a material adverse effect on the Company’s future financial position or results of operations.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Geographic Data</w:t>
      </w:r>
    </w:p>
    <w:p>
      <w:pPr>
        <w:spacing w:after="0" w:line="16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and Note 6.</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Geographic Data (Continued)</w:t>
      </w:r>
    </w:p>
    <w:p>
      <w:pPr>
        <w:spacing w:after="0" w:line="2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1940" w:type="dxa"/>
            <w:vAlign w:val="bottom"/>
            <w:gridSpan w:val="2"/>
          </w:tcPr>
          <w:p>
            <w:pPr>
              <w:spacing w:after="0"/>
              <w:rPr>
                <w:sz w:val="2"/>
                <w:szCs w:val="2"/>
                <w:color w:val="auto"/>
              </w:rPr>
            </w:pPr>
          </w:p>
        </w:tc>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606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$32,490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$34,758</w:t>
            </w:r>
          </w:p>
        </w:tc>
      </w:tr>
      <w:tr>
        <w:trPr>
          <w:trHeight w:val="257"/>
        </w:trPr>
        <w:tc>
          <w:tcPr>
            <w:tcW w:w="360" w:type="dxa"/>
            <w:vAlign w:val="bottom"/>
          </w:tcPr>
          <w:p>
            <w:pPr>
              <w:spacing w:after="0"/>
              <w:rPr>
                <w:sz w:val="22"/>
                <w:szCs w:val="22"/>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r>
      <w:tr>
        <w:trPr>
          <w:trHeight w:val="263"/>
        </w:trPr>
        <w:tc>
          <w:tcPr>
            <w:tcW w:w="360" w:type="dxa"/>
            <w:vAlign w:val="bottom"/>
          </w:tcPr>
          <w:p>
            <w:pPr>
              <w:spacing w:after="0"/>
              <w:rPr>
                <w:sz w:val="22"/>
                <w:szCs w:val="22"/>
                <w:color w:val="auto"/>
              </w:rPr>
            </w:pPr>
          </w:p>
        </w:tc>
        <w:tc>
          <w:tcPr>
            <w:tcW w:w="6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63"/>
        </w:trPr>
        <w:tc>
          <w:tcPr>
            <w:tcW w:w="360" w:type="dxa"/>
            <w:vAlign w:val="bottom"/>
          </w:tcPr>
          <w:p>
            <w:pPr>
              <w:spacing w:after="0"/>
              <w:rPr>
                <w:sz w:val="22"/>
                <w:szCs w:val="2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$83,394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7197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6308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Americas includes the United States, Canada, and Latin America (including the Caribbean).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19: Interest Expense,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7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$(9,731)</w:t>
            </w:r>
          </w:p>
        </w:tc>
        <w:tc>
          <w:tcPr>
            <w:tcW w:w="60" w:type="dxa"/>
            <w:vAlign w:val="bottom"/>
          </w:tcPr>
          <w:p>
            <w:pPr>
              <w:spacing w:after="0"/>
              <w:rPr>
                <w:sz w:val="21"/>
                <w:szCs w:val="21"/>
                <w:color w:val="auto"/>
              </w:rPr>
            </w:pPr>
          </w:p>
        </w:tc>
      </w:tr>
      <w:tr>
        <w:trPr>
          <w:trHeight w:val="26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22"/>
                <w:szCs w:val="22"/>
                <w:color w:val="auto"/>
              </w:rPr>
            </w:pPr>
          </w:p>
        </w:tc>
      </w:tr>
      <w:tr>
        <w:trPr>
          <w:trHeight w:val="26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$(8,199)</w:t>
            </w:r>
          </w:p>
        </w:tc>
        <w:tc>
          <w:tcPr>
            <w:tcW w:w="60" w:type="dxa"/>
            <w:vAlign w:val="bottom"/>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20: Other Income (Expense),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p>
      <w:pPr>
        <w:spacing w:after="0" w:line="19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24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Foreign exchange loss</w:t>
            </w:r>
            <w:r>
              <w:rPr>
                <w:rFonts w:ascii="Times New Roman" w:cs="Times New Roman" w:eastAsia="Times New Roman" w:hAnsi="Times New Roman"/>
                <w:sz w:val="26"/>
                <w:szCs w:val="26"/>
                <w:color w:val="auto"/>
                <w:vertAlign w:val="superscript"/>
              </w:rPr>
              <w:t>(1)</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$(5,591)</w:t>
            </w:r>
          </w:p>
        </w:tc>
        <w:tc>
          <w:tcPr>
            <w:tcW w:w="60" w:type="dxa"/>
            <w:vAlign w:val="bottom"/>
          </w:tcPr>
          <w:p>
            <w:pPr>
              <w:spacing w:after="0"/>
              <w:rPr>
                <w:sz w:val="22"/>
                <w:szCs w:val="22"/>
                <w:color w:val="auto"/>
              </w:rPr>
            </w:pPr>
          </w:p>
        </w:tc>
      </w:tr>
      <w:tr>
        <w:trPr>
          <w:trHeight w:val="284"/>
        </w:trPr>
        <w:tc>
          <w:tcPr>
            <w:tcW w:w="360" w:type="dxa"/>
            <w:vAlign w:val="bottom"/>
          </w:tcPr>
          <w:p>
            <w:pPr>
              <w:spacing w:after="0"/>
              <w:rPr>
                <w:sz w:val="24"/>
                <w:szCs w:val="24"/>
                <w:color w:val="auto"/>
              </w:rPr>
            </w:pPr>
          </w:p>
        </w:tc>
        <w:tc>
          <w:tcPr>
            <w:tcW w:w="6240" w:type="dxa"/>
            <w:vAlign w:val="bottom"/>
            <w:tcBorders>
              <w:bottom w:val="single" w:sz="8" w:color="CCEEFF"/>
            </w:tcBorders>
            <w:gridSpan w:val="2"/>
          </w:tcPr>
          <w:p>
            <w:pPr>
              <w:spacing w:after="0" w:line="283"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(2)</w:t>
            </w: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$ 236</w:t>
            </w: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$(5,557)</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-633730</wp:posOffset>
            </wp:positionV>
            <wp:extent cx="438023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83" w:lineRule="exact"/>
        <w:rPr>
          <w:sz w:val="20"/>
          <w:szCs w:val="20"/>
          <w:color w:val="auto"/>
        </w:rPr>
      </w:pPr>
    </w:p>
    <w:p>
      <w:pPr>
        <w:ind w:left="1620" w:right="679" w:hanging="358"/>
        <w:spacing w:after="0" w:line="254"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year ended December 31, 2018, the foreign exchange loss includes a loss of $487 relating to the remeasurement of a derivative instrument (see Note 16). In October 2018, the Company had intercompany sales of certain intangible operating assets between foreign subsidiaries, which resulted in significant U.S. dollar denominated finance transactions and balances between certain of its foreign subsidiaries. For the year ended December 31, 2019, such finance transactions resulted in unrealized foreign currency translation losses of $5,270.</w:t>
      </w:r>
    </w:p>
    <w:p>
      <w:pPr>
        <w:spacing w:after="0" w:line="43" w:lineRule="exact"/>
        <w:rPr>
          <w:rFonts w:ascii="Times New Roman" w:cs="Times New Roman" w:eastAsia="Times New Roman" w:hAnsi="Times New Roman"/>
          <w:sz w:val="18"/>
          <w:szCs w:val="18"/>
          <w:color w:val="auto"/>
        </w:rPr>
      </w:pPr>
    </w:p>
    <w:p>
      <w:pPr>
        <w:ind w:left="1620" w:right="759" w:hanging="358"/>
        <w:spacing w:after="0" w:line="282"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other income (expense), net includes a gain of $707 relating to insurance proceeds received in excess of the net book value of the replaced assets.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Realignment Costs</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During 2015, the Company initiated a strategic realignment program in order to better serve the Company’s users and to better align resources with the evolving needs of the business. The Company</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7" w:name="page258"/>
    <w:bookmarkEnd w:id="25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Realignment Costs (Continued)</w:t>
      </w:r>
    </w:p>
    <w:p>
      <w:pPr>
        <w:spacing w:after="0" w:line="22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 xml:space="preserve">incurred total realignment costs of $6,778 and $(584) for the years ended December 31, 2018 and 2019, respectively. As of December 31, 2018 and 2019, accrued realignment costs totaled $6,437 and $491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96"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realignment activity during the years ended December 31, 2018 and 2019:</w:t>
      </w:r>
    </w:p>
    <w:p>
      <w:pPr>
        <w:spacing w:after="0" w:line="12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1940" w:type="dxa"/>
            <w:vAlign w:val="bottom"/>
            <w:gridSpan w:val="2"/>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1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$ 1,458</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60" w:type="dxa"/>
            <w:vAlign w:val="bottom"/>
          </w:tcPr>
          <w:p>
            <w:pPr>
              <w:spacing w:after="0"/>
              <w:rPr>
                <w:sz w:val="21"/>
                <w:szCs w:val="21"/>
                <w:color w:val="auto"/>
              </w:rPr>
            </w:pPr>
          </w:p>
        </w:tc>
      </w:tr>
      <w:tr>
        <w:trPr>
          <w:trHeight w:val="256"/>
        </w:trPr>
        <w:tc>
          <w:tcPr>
            <w:tcW w:w="360" w:type="dxa"/>
            <w:vAlign w:val="bottom"/>
          </w:tcPr>
          <w:p>
            <w:pPr>
              <w:spacing w:after="0"/>
              <w:rPr>
                <w:sz w:val="22"/>
                <w:szCs w:val="22"/>
                <w:color w:val="auto"/>
              </w:rPr>
            </w:pPr>
          </w:p>
        </w:tc>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(5,326)</w:t>
            </w:r>
          </w:p>
        </w:tc>
        <w:tc>
          <w:tcPr>
            <w:tcW w:w="60" w:type="dxa"/>
            <w:vAlign w:val="bottom"/>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612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6"/>
                <w:szCs w:val="26"/>
                <w:color w:val="auto"/>
                <w:vertAlign w:val="superscript"/>
              </w:rPr>
              <w:t>(1)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5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$ 6,437</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8023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Adjustments includes foreign currency translation.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realignment costs by expense classification for the years ended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and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(185)</w:t>
            </w:r>
          </w:p>
        </w:tc>
        <w:tc>
          <w:tcPr>
            <w:tcW w:w="60" w:type="dxa"/>
            <w:vAlign w:val="bottom"/>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(236)</w:t>
            </w:r>
          </w:p>
        </w:tc>
      </w:tr>
      <w:tr>
        <w:trPr>
          <w:trHeight w:val="25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3,380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(171)</w:t>
            </w:r>
          </w:p>
        </w:tc>
      </w:tr>
      <w:tr>
        <w:trPr>
          <w:trHeight w:val="257"/>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2,252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(263)</w:t>
            </w:r>
          </w:p>
        </w:tc>
        <w:tc>
          <w:tcPr>
            <w:tcW w:w="60" w:type="dxa"/>
            <w:vAlign w:val="bottom"/>
          </w:tcPr>
          <w:p>
            <w:pPr>
              <w:spacing w:after="0"/>
              <w:rPr>
                <w:sz w:val="22"/>
                <w:szCs w:val="22"/>
                <w:color w:val="auto"/>
              </w:rPr>
            </w:pPr>
          </w:p>
        </w:tc>
      </w:tr>
      <w:tr>
        <w:trPr>
          <w:trHeight w:val="263"/>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22"/>
                <w:szCs w:val="22"/>
                <w:color w:val="auto"/>
              </w:rPr>
            </w:pPr>
          </w:p>
        </w:tc>
      </w:tr>
      <w:tr>
        <w:trPr>
          <w:trHeight w:val="264"/>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5,677</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(348)</w:t>
            </w:r>
          </w:p>
        </w:tc>
        <w:tc>
          <w:tcPr>
            <w:tcW w:w="60" w:type="dxa"/>
            <w:vAlign w:val="bottom"/>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realignment costs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6,778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(584)</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-385445</wp:posOffset>
            </wp:positionV>
            <wp:extent cx="447484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-1053465</wp:posOffset>
            </wp:positionV>
            <wp:extent cx="447484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-1739265</wp:posOffset>
            </wp:positionV>
            <wp:extent cx="44659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6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w:t>
      </w:r>
    </w:p>
    <w:p>
      <w:pPr>
        <w:spacing w:after="0" w:line="100" w:lineRule="exact"/>
        <w:rPr>
          <w:sz w:val="20"/>
          <w:szCs w:val="20"/>
          <w:color w:val="auto"/>
        </w:rPr>
      </w:pPr>
    </w:p>
    <w:p>
      <w:pPr>
        <w:ind w:left="1260" w:right="1119" w:firstLine="360"/>
        <w:spacing w:after="0" w:line="245" w:lineRule="auto"/>
        <w:rPr>
          <w:sz w:val="20"/>
          <w:szCs w:val="20"/>
          <w:color w:val="auto"/>
        </w:rPr>
      </w:pPr>
      <w:r>
        <w:rPr>
          <w:rFonts w:ascii="Times New Roman" w:cs="Times New Roman" w:eastAsia="Times New Roman" w:hAnsi="Times New Roman"/>
          <w:sz w:val="18"/>
          <w:szCs w:val="18"/>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113"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8" w:name="page259"/>
    <w:bookmarkEnd w:id="25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229"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plans. Diluted EPS attributable to common stockholders is computed by dividing the resulting net income attributable to common stockholders by the weighted-average number of fully diluted common shares outstanding.</w:t>
      </w:r>
    </w:p>
    <w:p>
      <w:pPr>
        <w:spacing w:after="0" w:line="95"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two-class method. The details of basic and diluted EPS are as follows (in thousands, except per share amounts):</w:t>
      </w:r>
    </w:p>
    <w:p>
      <w:pPr>
        <w:spacing w:after="0" w:line="35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net income per share – weighted average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6,819,400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vMerge w:val="continue"/>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-1885315</wp:posOffset>
            </wp:positionV>
            <wp:extent cx="4749165" cy="1714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-599440</wp:posOffset>
            </wp:positionV>
            <wp:extent cx="41148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-2219325</wp:posOffset>
            </wp:positionV>
            <wp:extent cx="410591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years ended December 31, 2018 and 2019, the Company evaluated subsequent events for recognition and measurement through March 6, 2020, the date when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2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ind w:left="25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121,101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125,516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125,516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211,775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169,778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169,778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(7,274)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(7,272)</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Prepaid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6,501</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353,558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29,632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30,303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48,134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48,134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46,313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480,065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529,759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529,759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Investment in joint venture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51,068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45,218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45,218</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60" w:type="dxa"/>
            <w:vAlign w:val="bottom"/>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5580" w:type="dxa"/>
            <w:vAlign w:val="bottom"/>
            <w:shd w:val="clear" w:color="auto" w:fill="CCEEFF"/>
          </w:tcPr>
          <w:p>
            <w:pPr>
              <w:ind w:left="114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Accruals and other 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167,517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174,889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176,333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204,991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180,130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180,130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15,959</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392,413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393,938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395,382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233,750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596,583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Long-term operating lease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revenues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8,154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6,326</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8,260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9,228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659,980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679,425</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1,072,197</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Stockholders’ equity (deficit):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320,000,000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11,601,757 shares as of December 31, 2019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2020, actual and pro forma, and Class B Common Stock,</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 par value, authorized 600,000,000 shares; issued 243,241,192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247,607,598 shares as of December 31, 2019 and June 30, 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and pro forma, respectively</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408,667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415,883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415,883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(23,927)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(28,404)</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(28,404)</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(403,099)</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334,619</w:t>
            </w: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-170815</wp:posOffset>
            </wp:positionV>
            <wp:extent cx="468884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2603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-1799590</wp:posOffset>
            </wp:positionV>
            <wp:extent cx="2603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-1945005</wp:posOffset>
            </wp:positionV>
            <wp:extent cx="468884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-2862580</wp:posOffset>
            </wp:positionV>
            <wp:extent cx="2603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-3925570</wp:posOffset>
            </wp:positionV>
            <wp:extent cx="2603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-4971415</wp:posOffset>
            </wp:positionV>
            <wp:extent cx="260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-5888355</wp:posOffset>
            </wp:positionV>
            <wp:extent cx="468058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22225</wp:posOffset>
            </wp:positionV>
            <wp:extent cx="13627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60" w:type="dxa"/>
            <w:vAlign w:val="bottom"/>
          </w:tcPr>
          <w:p>
            <w:pPr>
              <w:spacing w:after="0"/>
              <w:rPr>
                <w:sz w:val="22"/>
                <w:szCs w:val="2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60" w:type="dxa"/>
            <w:vAlign w:val="bottom"/>
          </w:tcPr>
          <w:p>
            <w:pPr>
              <w:spacing w:after="0"/>
              <w:rPr>
                <w:sz w:val="22"/>
                <w:szCs w:val="22"/>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6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60" w:type="dxa"/>
            <w:vAlign w:val="bottom"/>
          </w:tcPr>
          <w:p>
            <w:pPr>
              <w:spacing w:after="0"/>
              <w:rPr>
                <w:sz w:val="22"/>
                <w:szCs w:val="22"/>
                <w:color w:val="auto"/>
              </w:rPr>
            </w:pPr>
          </w:p>
        </w:tc>
      </w:tr>
      <w:tr>
        <w:trPr>
          <w:trHeight w:val="25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6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305,016</w:t>
            </w:r>
          </w:p>
        </w:tc>
        <w:tc>
          <w:tcPr>
            <w:tcW w:w="60" w:type="dxa"/>
            <w:vAlign w:val="bottom"/>
          </w:tcPr>
          <w:p>
            <w:pPr>
              <w:spacing w:after="0"/>
              <w:rPr>
                <w:sz w:val="22"/>
                <w:szCs w:val="22"/>
                <w:color w:val="auto"/>
              </w:rPr>
            </w:pPr>
          </w:p>
        </w:tc>
      </w:tr>
      <w:tr>
        <w:trPr>
          <w:trHeight w:val="25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60" w:type="dxa"/>
            <w:vAlign w:val="bottom"/>
          </w:tcPr>
          <w:p>
            <w:pPr>
              <w:spacing w:after="0"/>
              <w:rPr>
                <w:sz w:val="22"/>
                <w:szCs w:val="22"/>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60" w:type="dxa"/>
            <w:vAlign w:val="bottom"/>
          </w:tcPr>
          <w:p>
            <w:pPr>
              <w:spacing w:after="0"/>
              <w:rPr>
                <w:sz w:val="22"/>
                <w:szCs w:val="22"/>
                <w:color w:val="auto"/>
              </w:rPr>
            </w:pP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60" w:type="dxa"/>
            <w:vAlign w:val="bottom"/>
          </w:tcPr>
          <w:p>
            <w:pPr>
              <w:spacing w:after="0"/>
              <w:rPr>
                <w:sz w:val="22"/>
                <w:szCs w:val="22"/>
                <w:color w:val="auto"/>
              </w:rPr>
            </w:pPr>
          </w:p>
        </w:tc>
      </w:tr>
      <w:tr>
        <w:trPr>
          <w:trHeight w:val="263"/>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60" w:type="dxa"/>
            <w:vAlign w:val="bottom"/>
          </w:tcPr>
          <w:p>
            <w:pPr>
              <w:spacing w:after="0"/>
              <w:rPr>
                <w:sz w:val="22"/>
                <w:szCs w:val="22"/>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60" w:type="dxa"/>
            <w:vAlign w:val="bottom"/>
          </w:tcPr>
          <w:p>
            <w:pPr>
              <w:spacing w:after="0"/>
              <w:rPr>
                <w:sz w:val="22"/>
                <w:szCs w:val="22"/>
                <w:color w:val="auto"/>
              </w:rPr>
            </w:pPr>
          </w:p>
        </w:tc>
      </w:tr>
      <w:tr>
        <w:trPr>
          <w:trHeight w:val="25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Pr>
          <w:p>
            <w:pPr>
              <w:spacing w:after="0"/>
              <w:rPr>
                <w:sz w:val="22"/>
                <w:szCs w:val="22"/>
                <w:color w:val="auto"/>
              </w:rPr>
            </w:pPr>
          </w:p>
        </w:tc>
      </w:tr>
      <w:tr>
        <w:trPr>
          <w:trHeight w:val="26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56"/>
        </w:trPr>
        <w:tc>
          <w:tcPr>
            <w:tcW w:w="60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60" w:type="dxa"/>
            <w:vAlign w:val="bottom"/>
          </w:tcPr>
          <w:p>
            <w:pPr>
              <w:spacing w:after="0"/>
              <w:rPr>
                <w:sz w:val="22"/>
                <w:szCs w:val="22"/>
                <w:color w:val="auto"/>
              </w:rPr>
            </w:pP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60" w:type="dxa"/>
            <w:vAlign w:val="bottom"/>
          </w:tcPr>
          <w:p>
            <w:pPr>
              <w:spacing w:after="0"/>
              <w:rPr>
                <w:sz w:val="22"/>
                <w:szCs w:val="22"/>
                <w:color w:val="auto"/>
              </w:rPr>
            </w:pPr>
          </w:p>
        </w:tc>
      </w:tr>
      <w:tr>
        <w:trPr>
          <w:trHeight w:val="27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tcPr>
          <w:p>
            <w:pPr>
              <w:spacing w:after="0"/>
              <w:rPr>
                <w:sz w:val="24"/>
                <w:szCs w:val="24"/>
                <w:color w:val="auto"/>
              </w:rPr>
            </w:pPr>
          </w:p>
        </w:tc>
      </w:tr>
      <w:tr>
        <w:trPr>
          <w:trHeight w:val="270"/>
        </w:trPr>
        <w:tc>
          <w:tcPr>
            <w:tcW w:w="608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60" w:type="dxa"/>
            <w:vAlign w:val="bottom"/>
          </w:tcPr>
          <w:p>
            <w:pPr>
              <w:spacing w:after="0"/>
              <w:rPr>
                <w:sz w:val="23"/>
                <w:szCs w:val="23"/>
                <w:color w:val="auto"/>
              </w:rPr>
            </w:pPr>
          </w:p>
        </w:tc>
      </w:tr>
      <w:tr>
        <w:trPr>
          <w:trHeight w:val="27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317"/>
        </w:trPr>
        <w:tc>
          <w:tcPr>
            <w:tcW w:w="608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10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60" w:type="dxa"/>
            <w:vAlign w:val="bottom"/>
          </w:tcPr>
          <w:p>
            <w:pPr>
              <w:spacing w:after="0"/>
              <w:rPr>
                <w:sz w:val="24"/>
                <w:szCs w:val="24"/>
                <w:color w:val="auto"/>
              </w:rPr>
            </w:pPr>
          </w:p>
        </w:tc>
      </w:tr>
      <w:tr>
        <w:trPr>
          <w:trHeight w:val="21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317"/>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4"/>
                <w:szCs w:val="24"/>
                <w:color w:val="auto"/>
              </w:rPr>
            </w:pPr>
          </w:p>
        </w:tc>
      </w:tr>
      <w:tr>
        <w:trPr>
          <w:trHeight w:val="251"/>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6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6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-2031365</wp:posOffset>
            </wp:positionV>
            <wp:extent cx="456882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-2716530</wp:posOffset>
            </wp:positionV>
            <wp:extent cx="45688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-3728720</wp:posOffset>
            </wp:positionV>
            <wp:extent cx="456882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-4414520</wp:posOffset>
            </wp:positionV>
            <wp:extent cx="456882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-5442585</wp:posOffset>
            </wp:positionV>
            <wp:extent cx="456057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160"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22225</wp:posOffset>
            </wp:positionV>
            <wp:extent cx="90868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$46,418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$68,745</w:t>
            </w:r>
          </w:p>
        </w:tc>
        <w:tc>
          <w:tcPr>
            <w:tcW w:w="60" w:type="dxa"/>
            <w:vAlign w:val="bottom"/>
          </w:tcPr>
          <w:p>
            <w:pPr>
              <w:spacing w:after="0"/>
              <w:rPr>
                <w:sz w:val="21"/>
                <w:szCs w:val="21"/>
                <w:color w:val="auto"/>
              </w:rPr>
            </w:pPr>
          </w:p>
        </w:tc>
      </w:tr>
      <w:tr>
        <w:trPr>
          <w:trHeight w:val="25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60" w:type="dxa"/>
            <w:vAlign w:val="bottom"/>
          </w:tcPr>
          <w:p>
            <w:pPr>
              <w:spacing w:after="0"/>
              <w:rPr>
                <w:sz w:val="22"/>
                <w:szCs w:val="22"/>
                <w:color w:val="auto"/>
              </w:rPr>
            </w:pPr>
          </w:p>
        </w:tc>
      </w:tr>
      <w:tr>
        <w:trPr>
          <w:trHeight w:val="263"/>
        </w:trPr>
        <w:tc>
          <w:tcPr>
            <w:tcW w:w="6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($6) and ($15), respectively</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2"/>
                <w:szCs w:val="22"/>
                <w:color w:val="auto"/>
              </w:rPr>
            </w:pPr>
          </w:p>
        </w:tc>
      </w:tr>
      <w:tr>
        <w:trPr>
          <w:trHeight w:val="264"/>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60" w:type="dxa"/>
            <w:vAlign w:val="bottom"/>
          </w:tcPr>
          <w:p>
            <w:pPr>
              <w:spacing w:after="0"/>
              <w:rPr>
                <w:sz w:val="22"/>
                <w:szCs w:val="22"/>
                <w:color w:val="auto"/>
              </w:rPr>
            </w:pPr>
          </w:p>
        </w:tc>
      </w:tr>
      <w:tr>
        <w:trPr>
          <w:trHeight w:val="26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$48,834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$64,268</w:t>
            </w:r>
          </w:p>
        </w:tc>
        <w:tc>
          <w:tcPr>
            <w:tcW w:w="60" w:type="dxa"/>
            <w:vAlign w:val="bottom"/>
          </w:tcPr>
          <w:p>
            <w:pPr>
              <w:spacing w:after="0"/>
              <w:rPr>
                <w:sz w:val="22"/>
                <w:szCs w:val="22"/>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4834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-1053465</wp:posOffset>
            </wp:positionV>
            <wp:extent cx="482600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4"/>
            <w:vMerge w:val="restart"/>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760" w:type="dxa"/>
            <w:vAlign w:val="bottom"/>
            <w:gridSpan w:val="3"/>
            <w:vMerge w:val="restart"/>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w w:val="88"/>
              </w:rPr>
              <w:t>Accumulated</w:t>
            </w:r>
          </w:p>
        </w:tc>
        <w:tc>
          <w:tcPr>
            <w:tcW w:w="880" w:type="dxa"/>
            <w:vAlign w:val="bottom"/>
            <w:gridSpan w:val="4"/>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3"/>
              </w:rPr>
              <w:t>Par value</w:t>
            </w:r>
          </w:p>
        </w:tc>
        <w:tc>
          <w:tcPr>
            <w:tcW w:w="60" w:type="dxa"/>
            <w:vAlign w:val="bottom"/>
          </w:tcPr>
          <w:p>
            <w:pPr>
              <w:spacing w:after="0"/>
              <w:rPr>
                <w:sz w:val="16"/>
                <w:szCs w:val="16"/>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7"/>
              </w:rPr>
              <w:t>250,283,513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$2,502</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$ 392,896</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(29,414)</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(218,553)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(12,643)</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(160,963)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(1,211)</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192"/>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920" w:type="dxa"/>
            <w:vAlign w:val="bottom"/>
            <w:tcBorders>
              <w:right w:val="single" w:sz="8" w:color="CCEEFF"/>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2,230,430</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(4,975)</w:t>
            </w:r>
          </w:p>
        </w:tc>
        <w:tc>
          <w:tcPr>
            <w:tcW w:w="8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(4,953)</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compensation plan, net</w:t>
            </w: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plan voluntary</w:t>
            </w: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spacing w:after="0"/>
              <w:rPr>
                <w:sz w:val="16"/>
                <w:szCs w:val="16"/>
                <w:color w:val="auto"/>
              </w:rPr>
            </w:pP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9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shareholder Put and Call rights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(401,352)</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64,509</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2,657,027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2,154</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4,025</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409,665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3,563</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20" w:type="dxa"/>
            <w:vAlign w:val="bottom"/>
            <w:tcBorders>
              <w:right w:val="single" w:sz="8" w:color="CCEEFF"/>
            </w:tcBorders>
            <w:shd w:val="clear" w:color="auto" w:fill="CCEEFF"/>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7"/>
              </w:rPr>
              <w:t>255,086,392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$2,550</w:t>
            </w: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$ 401,439</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(26,998)</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(88,670)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$288,321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-205105</wp:posOffset>
            </wp:positionV>
            <wp:extent cx="14541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-205105</wp:posOffset>
            </wp:positionV>
            <wp:extent cx="18034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-205105</wp:posOffset>
            </wp:positionV>
            <wp:extent cx="14541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-205105</wp:posOffset>
            </wp:positionV>
            <wp:extent cx="8572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269176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917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-2596515</wp:posOffset>
            </wp:positionV>
            <wp:extent cx="468884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6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140" w:type="dxa"/>
            <w:vAlign w:val="bottom"/>
            <w:gridSpan w:val="5"/>
            <w:vMerge w:val="restart"/>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20" w:type="dxa"/>
            <w:vAlign w:val="bottom"/>
            <w:gridSpan w:val="3"/>
            <w:vMerge w:val="restart"/>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940" w:type="dxa"/>
            <w:vAlign w:val="bottom"/>
            <w:gridSpan w:val="4"/>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50"/>
        </w:trPr>
        <w:tc>
          <w:tcPr>
            <w:tcW w:w="2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7"/>
              </w:rPr>
              <w:t>Par value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254,842,949</w:t>
            </w:r>
          </w:p>
        </w:tc>
        <w:tc>
          <w:tcPr>
            <w:tcW w:w="16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$2,548</w:t>
            </w:r>
          </w:p>
        </w:tc>
        <w:tc>
          <w:tcPr>
            <w:tcW w:w="1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$408,667</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(23,927)</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(52,669)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68,745</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68,745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(4,477)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(4,477)</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Dividends declared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(15,437)</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(15,437)</w:t>
            </w: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sharing plan shares, net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(385,568)</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(4,424)</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(4,428)</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in connection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2,959,731</w:t>
            </w:r>
          </w:p>
        </w:tc>
        <w:tc>
          <w:tcPr>
            <w:tcW w:w="1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(1,860)</w:t>
            </w:r>
          </w:p>
        </w:tc>
        <w:tc>
          <w:tcPr>
            <w:tcW w:w="9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compensation plan, net</w:t>
            </w: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compensation plan voluntary</w:t>
            </w:r>
          </w:p>
        </w:tc>
        <w:tc>
          <w:tcPr>
            <w:tcW w:w="10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contributions</w:t>
            </w:r>
          </w:p>
        </w:tc>
        <w:tc>
          <w:tcPr>
            <w:tcW w:w="102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Payment of shareholder Put and Call</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(128,176)</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(1,453)</w:t>
            </w:r>
          </w:p>
        </w:tc>
        <w:tc>
          <w:tcPr>
            <w:tcW w:w="9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rights</w:t>
            </w:r>
          </w:p>
        </w:tc>
        <w:tc>
          <w:tcPr>
            <w:tcW w:w="102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Purchase Agreement,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w:t>
            </w:r>
          </w:p>
        </w:tc>
        <w:tc>
          <w:tcPr>
            <w:tcW w:w="94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860" w:type="dxa"/>
            <w:vAlign w:val="bottom"/>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Stock option exercises, net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2,184,628</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(3,052)</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for stock grants,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17,411</w:t>
            </w: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related to restricted stock, net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(281,789)</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
        </w:trPr>
        <w:tc>
          <w:tcPr>
            <w:tcW w:w="298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June 30,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259,209,355</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$2,592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$415,883</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(28,404)</w:t>
            </w:r>
          </w:p>
        </w:tc>
        <w:tc>
          <w:tcPr>
            <w:tcW w:w="12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(10,327)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$379,744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-2656840</wp:posOffset>
            </wp:positionV>
            <wp:extent cx="468884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r>
      <w:tr>
        <w:trPr>
          <w:trHeight w:val="196"/>
        </w:trPr>
        <w:tc>
          <w:tcPr>
            <w:tcW w:w="656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46,418</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68,745</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15,366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16,664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Provision for accounts receivable allowance</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5,284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compensation plan activity</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2,171</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1,633</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3,212</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Change in fair value of derivative</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4,174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(1,390)</w:t>
            </w: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(29,500)</w:t>
            </w:r>
          </w:p>
        </w:tc>
      </w:tr>
      <w:tr>
        <w:trPr>
          <w:trHeight w:val="230"/>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3"/>
        </w:trPr>
        <w:tc>
          <w:tcPr>
            <w:tcW w:w="6560" w:type="dxa"/>
            <w:vAlign w:val="bottom"/>
            <w:tcBorders>
              <w:top w:val="single" w:sz="8" w:color="CCEEFF"/>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82,758</w:t>
            </w:r>
          </w:p>
        </w:tc>
        <w:tc>
          <w:tcPr>
            <w:tcW w:w="14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136,182</w:t>
            </w:r>
          </w:p>
        </w:tc>
        <w:tc>
          <w:tcPr>
            <w:tcW w:w="40" w:type="dxa"/>
            <w:vAlign w:val="bottom"/>
            <w:tcBorders>
              <w:bottom w:val="single" w:sz="8" w:color="CCEEFF"/>
            </w:tcBorders>
          </w:tcPr>
          <w:p>
            <w:pPr>
              <w:spacing w:after="0"/>
              <w:rPr>
                <w:sz w:val="19"/>
                <w:szCs w:val="19"/>
                <w:color w:val="auto"/>
              </w:rPr>
            </w:pPr>
          </w:p>
        </w:tc>
      </w:tr>
      <w:tr>
        <w:trPr>
          <w:trHeight w:val="210"/>
        </w:trPr>
        <w:tc>
          <w:tcPr>
            <w:tcW w:w="6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costs to translate software products into foreign languages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 of $980 and $2,064, respectively</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(67,595)</w:t>
            </w: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(18,157)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(78,979)</w:t>
            </w:r>
          </w:p>
        </w:tc>
      </w:tr>
      <w:tr>
        <w:trPr>
          <w:trHeight w:val="210"/>
        </w:trPr>
        <w:tc>
          <w:tcPr>
            <w:tcW w:w="65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(191,125)</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(15,901)</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shares acquired including shares withheld for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(69,307)</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Purchase Agreement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58,349</w:t>
            </w:r>
          </w:p>
        </w:tc>
        <w:tc>
          <w:tcPr>
            <w:tcW w:w="40" w:type="dxa"/>
            <w:vAlign w:val="bottom"/>
          </w:tcPr>
          <w:p>
            <w:pPr>
              <w:spacing w:after="0"/>
              <w:rPr>
                <w:sz w:val="18"/>
                <w:szCs w:val="18"/>
                <w:color w:val="auto"/>
              </w:rPr>
            </w:pPr>
          </w:p>
        </w:tc>
      </w:tr>
      <w:tr>
        <w:trPr>
          <w:trHeight w:val="230"/>
        </w:trPr>
        <w:tc>
          <w:tcPr>
            <w:tcW w:w="65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common stock options and restricted stock</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40" w:type="dxa"/>
            <w:vAlign w:val="bottom"/>
            <w:shd w:val="clear" w:color="auto" w:fill="CCEEFF"/>
          </w:tcPr>
          <w:p>
            <w:pPr>
              <w:spacing w:after="0"/>
              <w:rPr>
                <w:sz w:val="19"/>
                <w:szCs w:val="19"/>
                <w:color w:val="auto"/>
              </w:rPr>
            </w:pP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(42,004)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(52,556)</w:t>
            </w: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23"/>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65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40" w:type="dxa"/>
            <w:vAlign w:val="bottom"/>
          </w:tcPr>
          <w:p>
            <w:pPr>
              <w:spacing w:after="0"/>
              <w:rPr>
                <w:sz w:val="18"/>
                <w:szCs w:val="18"/>
                <w:color w:val="auto"/>
              </w:rPr>
            </w:pPr>
          </w:p>
        </w:tc>
      </w:tr>
      <w:tr>
        <w:trPr>
          <w:trHeight w:val="230"/>
        </w:trPr>
        <w:tc>
          <w:tcPr>
            <w:tcW w:w="65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40" w:type="dxa"/>
            <w:vAlign w:val="bottom"/>
            <w:shd w:val="clear" w:color="auto" w:fill="CCEEFF"/>
          </w:tcPr>
          <w:p>
            <w:pPr>
              <w:spacing w:after="0"/>
              <w:rPr>
                <w:sz w:val="19"/>
                <w:szCs w:val="19"/>
                <w:color w:val="auto"/>
              </w:rPr>
            </w:pPr>
          </w:p>
        </w:tc>
      </w:tr>
      <w:tr>
        <w:trPr>
          <w:trHeight w:val="26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103,434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40" w:type="dxa"/>
            <w:vAlign w:val="bottom"/>
            <w:tcBorders>
              <w:bottom w:val="single" w:sz="8" w:color="CCEEFF"/>
            </w:tcBorders>
          </w:tcPr>
          <w:p>
            <w:pPr>
              <w:spacing w:after="0"/>
              <w:rPr>
                <w:sz w:val="22"/>
                <w:szCs w:val="22"/>
                <w:color w:val="auto"/>
              </w:rPr>
            </w:pPr>
          </w:p>
        </w:tc>
      </w:tr>
      <w:tr>
        <w:trPr>
          <w:trHeight w:val="170"/>
        </w:trPr>
        <w:tc>
          <w:tcPr>
            <w:tcW w:w="6560" w:type="dxa"/>
            <w:vAlign w:val="bottom"/>
            <w:tcBorders>
              <w:right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information:</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contingent acquisition consideration</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40" w:type="dxa"/>
            <w:vAlign w:val="bottom"/>
            <w:shd w:val="clear" w:color="auto" w:fill="CCEEFF"/>
          </w:tcPr>
          <w:p>
            <w:pPr>
              <w:spacing w:after="0"/>
              <w:rPr>
                <w:sz w:val="18"/>
                <w:szCs w:val="18"/>
                <w:color w:val="auto"/>
              </w:rPr>
            </w:pP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deferred acquisition consideration</w:t>
            </w:r>
          </w:p>
        </w:tc>
        <w:tc>
          <w:tcPr>
            <w:tcW w:w="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-1002030</wp:posOffset>
            </wp:positionV>
            <wp:extent cx="2540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-1294130</wp:posOffset>
            </wp:positionV>
            <wp:extent cx="254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-1447800</wp:posOffset>
            </wp:positionV>
            <wp:extent cx="52120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-1602105</wp:posOffset>
            </wp:positionV>
            <wp:extent cx="254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-2853690</wp:posOffset>
            </wp:positionV>
            <wp:extent cx="52120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-3007995</wp:posOffset>
            </wp:positionV>
            <wp:extent cx="2540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-3710940</wp:posOffset>
            </wp:positionV>
            <wp:extent cx="521208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-3865245</wp:posOffset>
            </wp:positionV>
            <wp:extent cx="254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-6394450</wp:posOffset>
            </wp:positionV>
            <wp:extent cx="468884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5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4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 </w:t>
      </w:r>
      <w:r>
        <w:rPr>
          <w:rFonts w:ascii="Times New Roman" w:cs="Times New Roman" w:eastAsia="Times New Roman" w:hAnsi="Times New Roman"/>
          <w:sz w:val="18"/>
          <w:szCs w:val="18"/>
          <w:color w:val="auto"/>
        </w:rPr>
        <w:t>Bentley Systems, Incorporated (“Bentley”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28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 </w:t>
      </w:r>
      <w:r>
        <w:rPr>
          <w:rFonts w:ascii="Times New Roman" w:cs="Times New Roman" w:eastAsia="Times New Roman" w:hAnsi="Times New Roman"/>
          <w:sz w:val="18"/>
          <w:szCs w:val="18"/>
          <w:color w:val="auto"/>
        </w:rPr>
        <w:t>The unaudited consolidated financial statements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notes have been prepared in United States (“U.S.”) dollars and in accordance with accounting principles generally accepted in the United States of America (“U.S. GAAP”). The accompanying consolidated financial statements include the accounts of the Company and its wholly-owned subsidiaries. The Company is party to a joint venture which is accounted for using the equity method. All significant intercompany accounts and transactions have been eliminated in consolidation. In the opinion of management, the accompanying unaudited consolidated financial statements contain all adjustments, consisting only of those of a normal recurring nature, necessary for a fair statement of our financial position, results of operations, and cash flows at the dates and for the periods indicated. The December 31, 2019 consolidated balance sheet included herein is derived from our audited consolidated financial statements. The results of operations for the six months ended June 30, 2020 are not necessarily indicative of the results expected for the remainder of the fiscal year.</w:t>
      </w:r>
    </w:p>
    <w:p>
      <w:pPr>
        <w:spacing w:after="0" w:line="30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309"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and related disclosures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significant estimates and assumptions include revenue recognition, adequacy of allowance for accounts receivable, determination of the fair value of acquired assets and liabilities, the fair value of derivative financial instruments, the fair value of common stock and stock-based compensation, operating lease assets and liabilities, useful lives for depreciation and amortization, impairment of goodwill and intangible assets, and accounting for income taxes. Actual results could differ materially from these estimates.</w:t>
      </w:r>
    </w:p>
    <w:p>
      <w:pPr>
        <w:spacing w:after="0" w:line="311"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 </w:t>
      </w:r>
      <w:r>
        <w:rPr>
          <w:rFonts w:ascii="Times New Roman" w:cs="Times New Roman" w:eastAsia="Times New Roman" w:hAnsi="Times New Roman"/>
          <w:sz w:val="18"/>
          <w:szCs w:val="18"/>
          <w:color w:val="auto"/>
        </w:rPr>
        <w:t>On March 31, 2020, the Company entered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swap with a notional amount of $200,000 and a ten-year term to reduce the interest rate risk associated with the Company’s Credit Facility (see Note 10). The interest rate swap is not designated as a hedging instrument for accounting purposes. The Company accounts for the swap as either an asset or a liability on the consolidated balance sheet and carries the derivative at fair value. Gains and losses from the</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7" w:lineRule="exact"/>
        <w:rPr>
          <w:sz w:val="20"/>
          <w:szCs w:val="20"/>
          <w:color w:val="auto"/>
        </w:rPr>
      </w:pPr>
    </w:p>
    <w:p>
      <w:pPr>
        <w:ind w:left="1260" w:right="719"/>
        <w:spacing w:after="0" w:line="256" w:lineRule="auto"/>
        <w:rPr>
          <w:sz w:val="20"/>
          <w:szCs w:val="20"/>
          <w:color w:val="auto"/>
        </w:rPr>
      </w:pPr>
      <w:r>
        <w:rPr>
          <w:rFonts w:ascii="Times New Roman" w:cs="Times New Roman" w:eastAsia="Times New Roman" w:hAnsi="Times New Roman"/>
          <w:sz w:val="18"/>
          <w:szCs w:val="18"/>
          <w:color w:val="auto"/>
        </w:rPr>
        <w:t xml:space="preserve">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10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 </w:t>
      </w:r>
      <w:r>
        <w:rPr>
          <w:rFonts w:ascii="Times New Roman" w:cs="Times New Roman" w:eastAsia="Times New Roman" w:hAnsi="Times New Roman"/>
          <w:sz w:val="18"/>
          <w:szCs w:val="18"/>
          <w:color w:val="auto"/>
        </w:rPr>
        <w:t>The Company determines if an arrangement is a lease at inception. Operating leases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Long-term operating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Company’s consolidated balance sheets. Operating lease right-of-use assets represent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right to use an underlying asset for the lease term and operating lease liabilities represent the Company’s obligation to make lease payments arising from the lease. Operating lease right-of-use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 line basis over the lease term. The Company’s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the Company’s consolidated balance sheet.</w:t>
      </w:r>
    </w:p>
    <w:p>
      <w:pPr>
        <w:spacing w:after="0" w:line="127" w:lineRule="exact"/>
        <w:rPr>
          <w:sz w:val="20"/>
          <w:szCs w:val="20"/>
          <w:color w:val="auto"/>
        </w:rPr>
      </w:pPr>
    </w:p>
    <w:p>
      <w:pPr>
        <w:ind w:left="1260" w:right="7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 </w:t>
      </w:r>
      <w:r>
        <w:rPr>
          <w:rFonts w:ascii="Times New Roman" w:cs="Times New Roman" w:eastAsia="Times New Roman" w:hAnsi="Times New Roman"/>
          <w:sz w:val="18"/>
          <w:szCs w:val="18"/>
          <w:color w:val="auto"/>
        </w:rPr>
        <w:t>There have been no changes other than what is discussed herein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significant accounting policies as compared to the significant accounting policies described in Note 1 to the Company’s consolidated financial statements as of and for the year ended December 31, 2019. These unaudited consolidated financial statements should be read in conjunction with the consolidated financial statements and related notes as of and for the year ended December 31, 2019.</w:t>
      </w:r>
    </w:p>
    <w:p>
      <w:pPr>
        <w:spacing w:after="0" w:line="11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Unaudited Pro Forma Financial Information — </w:t>
      </w:r>
      <w:r>
        <w:rPr>
          <w:rFonts w:ascii="Times New Roman" w:cs="Times New Roman" w:eastAsia="Times New Roman" w:hAnsi="Times New Roman"/>
          <w:sz w:val="18"/>
          <w:szCs w:val="18"/>
          <w:color w:val="auto"/>
        </w:rPr>
        <w:t>The accompanying unaudited pro forma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as of June 30, 2020 has been prepared to give effect to (i) the payment on September 2, 2020 of a special dividend of $1.50 per share of our common stock (approximately $390,000 in the aggregate) (the “Special Dividend”) declared by the Company’s board of directors on August 28, 2020 and the funding of such Special Dividend with borrowings under a $125,000 senior secured term loan with a maturity date of December 18, 2022 (the “New Term Loan”) provided for by an amendment to the Credit Facility (as defined below) and under the revolving facility under the Credit Facility and (ii) the accrual of the Special Dividend on 2,204,572 shares of outstanding restricted stock and restricted stock units.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4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2018-15, Intangibles — Goodwill and Other — Internal-Use Software (Subtopic 350-40): </w:t>
      </w:r>
      <w:r>
        <w:rPr>
          <w:rFonts w:ascii="Times New Roman" w:cs="Times New Roman" w:eastAsia="Times New Roman" w:hAnsi="Times New Roman"/>
          <w:sz w:val="18"/>
          <w:szCs w:val="18"/>
          <w:i w:val="1"/>
          <w:iCs w:val="1"/>
          <w:color w:val="auto"/>
        </w:rPr>
        <w:t>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the accounting for 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ectPr>
          <w:pgSz w:w="11900" w:h="16838" w:orient="portrait"/>
          <w:cols w:equalWidth="0" w:num="1">
            <w:col w:w="10139"/>
          </w:cols>
          <w:pgMar w:left="320" w:top="114"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removes Step 2 of the goodwill impairment test.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4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 2018-20,</w:t>
      </w:r>
      <w:r>
        <w:rPr>
          <w:rFonts w:ascii="Times New Roman" w:cs="Times New Roman" w:eastAsia="Times New Roman" w:hAnsi="Times New Roman"/>
          <w:sz w:val="18"/>
          <w:szCs w:val="18"/>
          <w:i w:val="1"/>
          <w:iCs w:val="1"/>
          <w:color w:val="auto"/>
        </w:rPr>
        <w:t xml:space="preserve"> Narrow-Scope Improvements for Lessors</w:t>
      </w:r>
      <w:r>
        <w:rPr>
          <w:rFonts w:ascii="Times New Roman" w:cs="Times New Roman" w:eastAsia="Times New Roman" w:hAnsi="Times New Roman"/>
          <w:sz w:val="18"/>
          <w:szCs w:val="18"/>
          <w:color w:val="auto"/>
        </w:rPr>
        <w:t>. These ASUs do not change the core principle of the guidance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2016-02. Instead, these amendments are intended to clarify and improve operability of certain topics included within the lease standard.</w:t>
      </w:r>
    </w:p>
    <w:p>
      <w:pPr>
        <w:spacing w:after="0" w:line="308"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Company adopted Topic 842 as of January 1, 2020 using the modified retrospective method for all existing leases. Upon adoption, the Company recognized its lease assets and lease liabilities measured at the present value of all future fixed lease payments, discounted using the Company’s incremental borrowing rate.</w:t>
      </w:r>
    </w:p>
    <w:p>
      <w:pPr>
        <w:spacing w:after="0" w:line="322" w:lineRule="exact"/>
        <w:rPr>
          <w:sz w:val="20"/>
          <w:szCs w:val="20"/>
          <w:color w:val="auto"/>
        </w:rPr>
      </w:pPr>
    </w:p>
    <w:p>
      <w:pPr>
        <w:ind w:left="1260" w:right="819" w:firstLine="360"/>
        <w:spacing w:after="0" w:line="246" w:lineRule="auto"/>
        <w:rPr>
          <w:sz w:val="20"/>
          <w:szCs w:val="20"/>
          <w:color w:val="auto"/>
        </w:rPr>
      </w:pPr>
      <w:r>
        <w:rPr>
          <w:rFonts w:ascii="Times New Roman" w:cs="Times New Roman" w:eastAsia="Times New Roman" w:hAnsi="Times New Roman"/>
          <w:sz w:val="18"/>
          <w:szCs w:val="18"/>
          <w:color w:val="auto"/>
        </w:rPr>
        <w:t>The Company elected the package of practical expedients as permitted under the transition guidance, which allows the Company: (1) to not reassess whether any existing contracts are leases or contain a lease;</w:t>
      </w:r>
    </w:p>
    <w:p>
      <w:pPr>
        <w:spacing w:after="0" w:line="1" w:lineRule="exact"/>
        <w:rPr>
          <w:sz w:val="20"/>
          <w:szCs w:val="20"/>
          <w:color w:val="auto"/>
        </w:rPr>
      </w:pPr>
    </w:p>
    <w:p>
      <w:pPr>
        <w:ind w:left="1260" w:right="679" w:firstLine="2"/>
        <w:spacing w:after="0" w:line="238" w:lineRule="auto"/>
        <w:tabs>
          <w:tab w:leader="none" w:pos="15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w:t>
      </w:r>
    </w:p>
    <w:p>
      <w:pPr>
        <w:spacing w:after="0" w:line="104"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Upon adoption of Topic 842, the Company recognized right of use assets of $45,850 and lease liabilities of $47,666 calculated based on the present value of the remaining minimum lease payments as of the adoption date. Topic 842 did not have a material impact to the Company’s consolidated statement of operations (see Note 8).</w:t>
      </w:r>
    </w:p>
    <w:p>
      <w:pPr>
        <w:spacing w:after="0" w:line="111"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Current guidance requires the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to be estimated based on an incurred loss model, which considers past and current conditions. Topic 326 requires companies to use an expected loss model that also considers reasonable and supportable forecasts of future conditions. Additionally, Topic 326 requires the allowance for doubtful accounts balance (contra-asset) to be presented separately in the consolidated balance sheets. Topic 326 is effective for the Company for the annual period beginning after December 15, 2020, including interim periods within that annual period. The Company adopted ASU 2016-13 as of January 1, 2020 using the modified retrospective method of adoption. The adoption of the ASU did not have a material impact on the Company’s consolidated results of operations and financial position.</w:t>
      </w:r>
    </w:p>
    <w:p>
      <w:pPr>
        <w:spacing w:after="0" w:line="121"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2018 -13,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Fair Value Measurement</w:t>
      </w:r>
      <w:r>
        <w:rPr>
          <w:rFonts w:ascii="Times New Roman" w:cs="Times New Roman" w:eastAsia="Times New Roman" w:hAnsi="Times New Roman"/>
          <w:sz w:val="18"/>
          <w:szCs w:val="18"/>
          <w:color w:val="auto"/>
        </w:rPr>
        <w:t>. ASU 2018-13 modifies</w:t>
      </w: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8" w:name="page269"/>
    <w:bookmarkEnd w:id="26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39"/>
        <w:spacing w:after="0"/>
        <w:rPr>
          <w:sz w:val="20"/>
          <w:szCs w:val="20"/>
          <w:color w:val="auto"/>
        </w:rPr>
      </w:pPr>
      <w:r>
        <w:rPr>
          <w:rFonts w:ascii="Times New Roman" w:cs="Times New Roman" w:eastAsia="Times New Roman" w:hAnsi="Times New Roman"/>
          <w:sz w:val="18"/>
          <w:szCs w:val="18"/>
          <w:color w:val="auto"/>
        </w:rPr>
        <w:t>certain required disclosures and establishes new requirements related to fair value measurement. Additionally, the disclosure requirement to state the reasons for transfers between Level 1 and Level 2, the policy for timing transfers between levels, and the valuation process for Level 3 measurements have been removed. ASU 2018-13 is effective for the Company for the annual period beginning after December 15, 2019, including interim periods within that annual period. The Company adopted the ASU effective January 1, 2020. The adoption of this ASU did not have a material impact on the Company’s consolidated results of operations and financial position.</w:t>
      </w:r>
    </w:p>
    <w:p>
      <w:pPr>
        <w:spacing w:after="0" w:line="10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w:t>
      </w:r>
      <w:r>
        <w:rPr>
          <w:rFonts w:ascii="Times New Roman" w:cs="Times New Roman" w:eastAsia="Times New Roman" w:hAnsi="Times New Roman"/>
          <w:sz w:val="18"/>
          <w:szCs w:val="18"/>
          <w:color w:val="auto"/>
        </w:rPr>
        <w:t>, which is intended to simplify various aspects related to accounting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ASU 2019-12 removes certain exceptions to the general principles in Topic 740 and clarifies and amends existing guidance to improve consistent application. ASU 2019- 12 is effective for the Company for the annual period beginning after December 15, 2021, including interim periods within that annual period. The Company adopted the ASU effective January 1, 2020. The adoption of this ASU did not have a material impact on the Company’s consolidated results of operations and financial position.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4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prepaid annual recurring subscription that accounts (which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12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also provides Enterprise subscription offerings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its largest accounts with complete and unlimited global access to the Company’s comprehensive portfolio of solutions. Enterprise License Subscriptions (“ELS”) provide access for a prepaid fee, which is based on the account’s usage of software in the preceding year, effectively a fee- 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2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the</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9" w:name="page270"/>
    <w:bookmarkEnd w:id="26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999"/>
        <w:spacing w:after="0" w:line="241" w:lineRule="auto"/>
        <w:rPr>
          <w:sz w:val="20"/>
          <w:szCs w:val="20"/>
          <w:color w:val="auto"/>
        </w:rPr>
      </w:pPr>
      <w:r>
        <w:rPr>
          <w:rFonts w:ascii="Times New Roman" w:cs="Times New Roman" w:eastAsia="Times New Roman" w:hAnsi="Times New Roman"/>
          <w:sz w:val="18"/>
          <w:szCs w:val="18"/>
          <w:color w:val="auto"/>
        </w:rPr>
        <w:t>accounts are charged based upon daily usage. The daily usage fee includes a term license component, SELECT maintenance and support, and Success Plan services, which are designed to achieve business outcomes through more efficient and effective use of the Company’s software. E365 revenues are recognized based upon usage incurred by the account. Usage is defined as distinct user access on a daily basis. The term of E365 subscriptions aligns with calendar quarters and revenue is recognized based on actual usage.</w:t>
      </w:r>
    </w:p>
    <w:p>
      <w:pPr>
        <w:spacing w:after="0" w:line="307"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provides annual, quarterly, and monthly term licenses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For usage-based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12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 as described below.</w:t>
      </w:r>
    </w:p>
    <w:p>
      <w:pPr>
        <w:spacing w:after="0" w:line="113"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4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48" w:lineRule="exact"/>
        <w:rPr>
          <w:sz w:val="20"/>
          <w:szCs w:val="20"/>
          <w:color w:val="auto"/>
        </w:rPr>
      </w:pPr>
    </w:p>
    <w:p>
      <w:pPr>
        <w:jc w:val="both"/>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w:t>
      </w:r>
    </w:p>
    <w:p>
      <w:pPr>
        <w:spacing w:after="0" w:line="1" w:lineRule="exact"/>
        <w:rPr>
          <w:sz w:val="20"/>
          <w:szCs w:val="20"/>
          <w:color w:val="auto"/>
        </w:rPr>
      </w:pPr>
    </w:p>
    <w:p>
      <w:pPr>
        <w:ind w:left="1260" w:right="719"/>
        <w:spacing w:after="0" w:line="236"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11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June 30, 2020, the Company has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213,145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-333375</wp:posOffset>
            </wp:positionV>
            <wp:extent cx="430339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0"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June 30, 2020.</w:t>
      </w:r>
    </w:p>
    <w:p>
      <w:pPr>
        <w:spacing w:after="0" w:line="96"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six months ended June 30, 2020, $144,391 of revenue that was included in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 deferred revenue balance was recognized. There were additional deferrals of $118,767,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were primarily related to new billings.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35"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June 30, 2020, amounts allocated to these remaining performance obligations are $186,456, of which the Company expects to recognize 96.6% over the next 12 months with the remaining amount thereafter.</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0"/>
        </w:trPr>
        <w:tc>
          <w:tcPr>
            <w:tcW w:w="5560" w:type="dxa"/>
            <w:vAlign w:val="bottom"/>
          </w:tcPr>
          <w:p>
            <w:pPr>
              <w:spacing w:after="0"/>
              <w:rPr>
                <w:sz w:val="17"/>
                <w:szCs w:val="17"/>
                <w:color w:val="auto"/>
              </w:rPr>
            </w:pPr>
          </w:p>
        </w:tc>
        <w:tc>
          <w:tcPr>
            <w:tcW w:w="9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r>
      <w:tr>
        <w:trPr>
          <w:trHeight w:val="23"/>
        </w:trPr>
        <w:tc>
          <w:tcPr>
            <w:tcW w:w="5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$132,339</w:t>
            </w:r>
          </w:p>
        </w:tc>
        <w:tc>
          <w:tcPr>
            <w:tcW w:w="20" w:type="dxa"/>
            <w:vAlign w:val="bottom"/>
            <w:shd w:val="clear" w:color="auto" w:fill="CCEEFF"/>
          </w:tcPr>
          <w:p>
            <w:pPr>
              <w:spacing w:after="0"/>
              <w:rPr>
                <w:sz w:val="22"/>
                <w:szCs w:val="22"/>
                <w:color w:val="auto"/>
              </w:rPr>
            </w:pPr>
          </w:p>
        </w:tc>
      </w:tr>
      <w:tr>
        <w:trPr>
          <w:trHeight w:val="257"/>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109,290</w:t>
            </w:r>
          </w:p>
        </w:tc>
        <w:tc>
          <w:tcPr>
            <w:tcW w:w="20" w:type="dxa"/>
            <w:vAlign w:val="bottom"/>
          </w:tcPr>
          <w:p>
            <w:pPr>
              <w:spacing w:after="0"/>
              <w:rPr>
                <w:sz w:val="22"/>
                <w:szCs w:val="2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20" w:type="dxa"/>
            <w:vAlign w:val="bottom"/>
            <w:shd w:val="clear" w:color="auto" w:fill="CCEEFF"/>
          </w:tcPr>
          <w:p>
            <w:pPr>
              <w:spacing w:after="0"/>
              <w:rPr>
                <w:sz w:val="22"/>
                <w:szCs w:val="22"/>
                <w:color w:val="auto"/>
              </w:rPr>
            </w:pPr>
          </w:p>
        </w:tc>
      </w:tr>
      <w:tr>
        <w:trPr>
          <w:trHeight w:val="257"/>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20" w:type="dxa"/>
            <w:vAlign w:val="bottom"/>
          </w:tcPr>
          <w:p>
            <w:pPr>
              <w:spacing w:after="0"/>
              <w:rPr>
                <w:sz w:val="22"/>
                <w:szCs w:val="22"/>
                <w:color w:val="auto"/>
              </w:rPr>
            </w:pP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63"/>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0" w:type="dxa"/>
            <w:vAlign w:val="bottom"/>
            <w:tcBorders>
              <w:bottom w:val="single" w:sz="8" w:color="CCEEFF"/>
            </w:tcBorders>
          </w:tcPr>
          <w:p>
            <w:pPr>
              <w:spacing w:after="0"/>
              <w:rPr>
                <w:sz w:val="22"/>
                <w:szCs w:val="22"/>
                <w:color w:val="auto"/>
              </w:rPr>
            </w:pPr>
          </w:p>
        </w:tc>
      </w:tr>
      <w:tr>
        <w:trPr>
          <w:trHeight w:val="257"/>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20" w:type="dxa"/>
            <w:vAlign w:val="bottom"/>
            <w:shd w:val="clear" w:color="auto" w:fill="CCEEFF"/>
          </w:tcPr>
          <w:p>
            <w:pPr>
              <w:spacing w:after="0"/>
              <w:rPr>
                <w:sz w:val="22"/>
                <w:szCs w:val="22"/>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0" w:type="dxa"/>
            <w:vAlign w:val="bottom"/>
            <w:shd w:val="clear" w:color="auto" w:fill="CCEEFF"/>
          </w:tcPr>
          <w:p>
            <w:pPr>
              <w:spacing w:after="0"/>
              <w:rPr>
                <w:sz w:val="22"/>
                <w:szCs w:val="22"/>
                <w:color w:val="auto"/>
              </w:rPr>
            </w:pPr>
          </w:p>
        </w:tc>
      </w:tr>
      <w:tr>
        <w:trPr>
          <w:trHeight w:val="263"/>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Professional services (other)</w:t>
            </w:r>
          </w:p>
        </w:tc>
        <w:tc>
          <w:tcPr>
            <w:tcW w:w="26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20" w:type="dxa"/>
            <w:vAlign w:val="bottom"/>
            <w:tcBorders>
              <w:bottom w:val="single" w:sz="8" w:color="CCEEFF"/>
            </w:tcBorders>
          </w:tcPr>
          <w:p>
            <w:pPr>
              <w:spacing w:after="0"/>
              <w:rPr>
                <w:sz w:val="22"/>
                <w:szCs w:val="22"/>
                <w:color w:val="auto"/>
              </w:rPr>
            </w:pPr>
          </w:p>
        </w:tc>
      </w:tr>
      <w:tr>
        <w:trPr>
          <w:trHeight w:val="277"/>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0" w:type="dxa"/>
            <w:vAlign w:val="bottom"/>
            <w:shd w:val="clear" w:color="auto" w:fill="CCEEFF"/>
          </w:tcPr>
          <w:p>
            <w:pPr>
              <w:spacing w:after="0"/>
              <w:rPr>
                <w:sz w:val="24"/>
                <w:szCs w:val="24"/>
                <w:color w:val="auto"/>
              </w:rPr>
            </w:pPr>
          </w:p>
        </w:tc>
      </w:tr>
      <w:tr>
        <w:trPr>
          <w:trHeight w:val="277"/>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20" w:type="dxa"/>
            <w:vAlign w:val="bottom"/>
          </w:tcPr>
          <w:p>
            <w:pPr>
              <w:spacing w:after="0"/>
              <w:rPr>
                <w:sz w:val="24"/>
                <w:szCs w:val="24"/>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-213995</wp:posOffset>
            </wp:positionV>
            <wp:extent cx="1714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-402590</wp:posOffset>
            </wp:positionV>
            <wp:extent cx="474916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-1071245</wp:posOffset>
            </wp:positionV>
            <wp:extent cx="474916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-1576705</wp:posOffset>
            </wp:positionV>
            <wp:extent cx="1714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-2407920</wp:posOffset>
            </wp:positionV>
            <wp:extent cx="427736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5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six months ended June 30, 2019 and 2020, the Company recognized $143,742 and $160,270 of license related revenues, respectively, of which $119,274 and $137,077, respectively, was attributable to the term license component of the Company’s subscription based commercial offerings recorded in Subscriptions.</w:t>
      </w:r>
    </w:p>
    <w:p>
      <w:pPr>
        <w:spacing w:after="0" w:line="104"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The Company derived 7% and 8% of its total revenues through channel partners for the six months ended June 30, 2019 and 2020, respectively.</w:t>
      </w:r>
    </w:p>
    <w:p>
      <w:pPr>
        <w:spacing w:after="0" w:line="81"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57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$185,838</w:t>
            </w:r>
          </w:p>
        </w:tc>
        <w:tc>
          <w:tcPr>
            <w:tcW w:w="20" w:type="dxa"/>
            <w:vAlign w:val="bottom"/>
          </w:tcPr>
          <w:p>
            <w:pPr>
              <w:spacing w:after="0"/>
              <w:rPr>
                <w:sz w:val="21"/>
                <w:szCs w:val="21"/>
                <w:color w:val="auto"/>
              </w:rPr>
            </w:pPr>
          </w:p>
        </w:tc>
      </w:tr>
      <w:tr>
        <w:trPr>
          <w:trHeight w:val="243"/>
        </w:trPr>
        <w:tc>
          <w:tcPr>
            <w:tcW w:w="5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6"/>
                <w:szCs w:val="26"/>
                <w:color w:val="auto"/>
                <w:vertAlign w:val="superscript"/>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20" w:type="dxa"/>
            <w:vAlign w:val="bottom"/>
            <w:shd w:val="clear" w:color="auto" w:fill="CCEEFF"/>
          </w:tcPr>
          <w:p>
            <w:pPr>
              <w:spacing w:after="0"/>
              <w:rPr>
                <w:sz w:val="21"/>
                <w:szCs w:val="21"/>
                <w:color w:val="auto"/>
              </w:rPr>
            </w:pPr>
          </w:p>
        </w:tc>
      </w:tr>
      <w:tr>
        <w:trPr>
          <w:trHeight w:val="264"/>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280" w:type="dxa"/>
            <w:vAlign w:val="bottom"/>
            <w:tcBorders>
              <w:bottom w:val="single" w:sz="8" w:color="CCEEFF"/>
            </w:tcBorders>
            <w:gridSpan w:val="3"/>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20" w:type="dxa"/>
            <w:vAlign w:val="bottom"/>
            <w:tcBorders>
              <w:bottom w:val="single" w:sz="8" w:color="CCEEFF"/>
            </w:tcBorders>
          </w:tcPr>
          <w:p>
            <w:pPr>
              <w:spacing w:after="0"/>
              <w:rPr>
                <w:sz w:val="22"/>
                <w:szCs w:val="22"/>
                <w:color w:val="auto"/>
              </w:rPr>
            </w:pP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347,144</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378,980</w:t>
            </w:r>
          </w:p>
        </w:tc>
        <w:tc>
          <w:tcPr>
            <w:tcW w:w="20" w:type="dxa"/>
            <w:vAlign w:val="bottom"/>
            <w:shd w:val="clear" w:color="auto" w:fill="CCEEFF"/>
          </w:tcPr>
          <w:p>
            <w:pPr>
              <w:spacing w:after="0"/>
              <w:rPr>
                <w:sz w:val="22"/>
                <w:szCs w:val="22"/>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74916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-831215</wp:posOffset>
            </wp:positionV>
            <wp:extent cx="427736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2" w:name="page273"/>
    <w:bookmarkEnd w:id="27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251460</wp:posOffset>
            </wp:positionV>
            <wp:extent cx="123444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right="719" w:hanging="358"/>
        <w:spacing w:after="0" w:line="266"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$142,795 and $159,201 for the six months ended June 30, 2019 and 2020, respectively.</w:t>
      </w:r>
    </w:p>
    <w:p>
      <w:pPr>
        <w:spacing w:after="0" w:line="27" w:lineRule="exact"/>
        <w:rPr>
          <w:rFonts w:ascii="Times New Roman" w:cs="Times New Roman" w:eastAsia="Times New Roman" w:hAnsi="Times New Roman"/>
          <w:sz w:val="18"/>
          <w:szCs w:val="18"/>
          <w:color w:val="auto"/>
        </w:rPr>
      </w:pPr>
    </w:p>
    <w:p>
      <w:pPr>
        <w:ind w:left="1620" w:right="1059" w:hanging="358"/>
        <w:spacing w:after="0" w:line="282"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$27,297 and $27,885 for the six months ended June 30, 2019 and 2020,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62" w:lineRule="exact"/>
        <w:rPr>
          <w:sz w:val="20"/>
          <w:szCs w:val="20"/>
          <w:color w:val="auto"/>
        </w:rPr>
      </w:pPr>
    </w:p>
    <w:p>
      <w:pPr>
        <w:ind w:left="1260" w:right="9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2019 and the six months ended June 30, 2020,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r>
      <w:tr>
        <w:trPr>
          <w:trHeight w:val="23"/>
        </w:trPr>
        <w:tc>
          <w:tcPr>
            <w:tcW w:w="1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62"/>
        </w:trPr>
        <w:tc>
          <w:tcPr>
            <w:tcW w:w="1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1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2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Pr>
          <w:p>
            <w:pPr>
              <w:spacing w:after="0"/>
              <w:rPr>
                <w:sz w:val="16"/>
                <w:szCs w:val="16"/>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r>
      <w:tr>
        <w:trPr>
          <w:trHeight w:val="270"/>
        </w:trPr>
        <w:tc>
          <w:tcPr>
            <w:tcW w:w="58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Cash paid at closing</w:t>
            </w:r>
            <w:r>
              <w:rPr>
                <w:rFonts w:ascii="Times New Roman" w:cs="Times New Roman" w:eastAsia="Times New Roman" w:hAnsi="Times New Roman"/>
                <w:sz w:val="26"/>
                <w:szCs w:val="26"/>
                <w:color w:val="auto"/>
                <w:vertAlign w:val="superscript"/>
              </w:rPr>
              <w:t>(1)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$69,659</w:t>
            </w:r>
          </w:p>
        </w:tc>
        <w:tc>
          <w:tcPr>
            <w:tcW w:w="280" w:type="dxa"/>
            <w:vAlign w:val="bottom"/>
          </w:tcPr>
          <w:p>
            <w:pPr>
              <w:spacing w:after="0"/>
              <w:rPr>
                <w:sz w:val="23"/>
                <w:szCs w:val="23"/>
                <w:color w:val="auto"/>
              </w:rPr>
            </w:pPr>
          </w:p>
        </w:tc>
      </w:tr>
      <w:tr>
        <w:trPr>
          <w:trHeight w:val="263"/>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340" w:type="dxa"/>
            <w:vAlign w:val="bottom"/>
            <w:gridSpan w:val="2"/>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194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28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81"/>
        </w:trPr>
        <w:tc>
          <w:tcPr>
            <w:tcW w:w="194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-788035</wp:posOffset>
            </wp:positionV>
            <wp:extent cx="44919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97" w:lineRule="exact"/>
        <w:rPr>
          <w:sz w:val="20"/>
          <w:szCs w:val="20"/>
          <w:color w:val="auto"/>
        </w:rPr>
      </w:pPr>
    </w:p>
    <w:p>
      <w:pPr>
        <w:ind w:left="1620" w:right="939" w:hanging="358"/>
        <w:spacing w:after="0" w:line="282"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during the six months ended June 30, 2020, $3,413 was deposited into an escrow account to secure any potential indemnification and other obligations of the seller.</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 fair value of the contingent consideration related to acquisitions totaled $5,761, of which $4,223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$1,538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w:t>
      </w:r>
    </w:p>
    <w:p>
      <w:pPr>
        <w:spacing w:after="0" w:line="96"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current deferred payment obligations including contingent consideration for all acquisitions were $5,999 and $4,954, respectively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w:t>
      </w:r>
      <w:r>
        <w:rPr>
          <w:rFonts w:ascii="Times New Roman" w:cs="Times New Roman" w:eastAsia="Times New Roman" w:hAnsi="Times New Roman"/>
          <w:sz w:val="18"/>
          <w:szCs w:val="18"/>
          <w:i w:val="1"/>
          <w:iCs w:val="1"/>
          <w:color w:val="auto"/>
        </w:rPr>
        <w: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long-term deferred payment obligations including contingent consideration for all acquisitions were $1,499 and $1,538 and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sheets.</w:t>
      </w:r>
    </w:p>
    <w:p>
      <w:pPr>
        <w:spacing w:after="0" w:line="109"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there is $891 due to the Company related to subsequent net working capital adjustments from a 2020 acquisition, which is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w:t>
      </w:r>
    </w:p>
    <w:p>
      <w:pPr>
        <w:spacing w:after="0" w:line="9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3" w:name="page274"/>
    <w:bookmarkEnd w:id="27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jc w:val="both"/>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w:t>
      </w:r>
    </w:p>
    <w:p>
      <w:pPr>
        <w:spacing w:after="0" w:line="1"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 ended December 31, 2019 and the</w:t>
      </w:r>
    </w:p>
    <w:p>
      <w:pPr>
        <w:spacing w:after="0" w:line="2" w:lineRule="exact"/>
        <w:rPr>
          <w:sz w:val="20"/>
          <w:szCs w:val="20"/>
          <w:color w:val="auto"/>
        </w:rPr>
      </w:pPr>
    </w:p>
    <w:p>
      <w:pPr>
        <w:ind w:left="1260" w:right="1399"/>
        <w:spacing w:after="0" w:line="260" w:lineRule="auto"/>
        <w:rPr>
          <w:sz w:val="20"/>
          <w:szCs w:val="20"/>
          <w:color w:val="auto"/>
        </w:rPr>
      </w:pPr>
      <w:r>
        <w:rPr>
          <w:rFonts w:ascii="Times New Roman" w:cs="Times New Roman" w:eastAsia="Times New Roman" w:hAnsi="Times New Roman"/>
          <w:sz w:val="18"/>
          <w:szCs w:val="18"/>
          <w:color w:val="auto"/>
        </w:rPr>
        <w:t>six months ended June 30, 2020, the fair value adjustments to reduce revenue were $553 and $195, respectively.</w:t>
      </w:r>
    </w:p>
    <w:p>
      <w:pPr>
        <w:spacing w:after="0" w:line="10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purchase accounting for two acquisitions completed during the year ended December 31, 2019 and three acquisitions completed during the six months ended June 30, 2020, are not yet completed. Identifiable assets acquired and liabilities assumed were provisionally recorded at their estimated fair values on the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33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six months ended June 30, 2019 and 2020, the Company incurred acquisition and integration costs of $251 and $1,078,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Company’s consolidated statements of operations.</w:t>
      </w:r>
    </w:p>
    <w:p>
      <w:pPr>
        <w:spacing w:after="0" w:line="11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36,577</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69,659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 to (from) sellers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9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70,296</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7 years)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-1704975</wp:posOffset>
            </wp:positionV>
            <wp:extent cx="521208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-2390775</wp:posOffset>
            </wp:positionV>
            <wp:extent cx="44919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4" w:name="page275"/>
    <w:bookmarkEnd w:id="27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r>
      <w:tr>
        <w:trPr>
          <w:trHeight w:val="174"/>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8"/>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5 and 9 years,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66"/>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57"/>
        </w:trPr>
        <w:tc>
          <w:tcPr>
            <w:tcW w:w="548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500" w:type="dxa"/>
            <w:vAlign w:val="bottom"/>
            <w:tcBorders>
              <w:top w:val="single" w:sz="8" w:color="CCEEFF"/>
              <w:bottom w:val="single" w:sz="8" w:color="CCEEFF"/>
            </w:tcBorders>
            <w:gridSpan w:val="2"/>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2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CCEEFF"/>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80" w:type="dxa"/>
            <w:vAlign w:val="bottom"/>
            <w:tcBorders>
              <w:top w:val="single" w:sz="8" w:color="CCEEFF"/>
              <w:bottom w:val="single" w:sz="8" w:color="CCEEFF"/>
            </w:tcBorders>
          </w:tcPr>
          <w:p>
            <w:pPr>
              <w:spacing w:after="0"/>
              <w:rPr>
                <w:sz w:val="22"/>
                <w:szCs w:val="22"/>
                <w:color w:val="auto"/>
              </w:rPr>
            </w:pPr>
          </w:p>
        </w:tc>
      </w:tr>
      <w:tr>
        <w:trPr>
          <w:trHeight w:val="257"/>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r>
      <w:tr>
        <w:trPr>
          <w:trHeight w:val="257"/>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(3,538)</w:t>
            </w:r>
          </w:p>
        </w:tc>
        <w:tc>
          <w:tcPr>
            <w:tcW w:w="22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r>
      <w:tr>
        <w:trPr>
          <w:trHeight w:val="257"/>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r>
      <w:tr>
        <w:trPr>
          <w:trHeight w:val="25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(1,869)</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gridSpan w:val="2"/>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(8,304)</w:t>
            </w:r>
          </w:p>
        </w:tc>
        <w:tc>
          <w:tcPr>
            <w:tcW w:w="22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(9,465)</w:t>
            </w:r>
          </w:p>
        </w:tc>
      </w:tr>
      <w:tr>
        <w:trPr>
          <w:trHeight w:val="257"/>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500" w:type="dxa"/>
            <w:vAlign w:val="bottom"/>
            <w:tcBorders>
              <w:top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80" w:type="dxa"/>
            <w:vAlign w:val="bottom"/>
            <w:tcBorders>
              <w:top w:val="single" w:sz="8" w:color="CCEEFF"/>
            </w:tcBorders>
            <w:shd w:val="clear" w:color="auto" w:fill="CCEEFF"/>
          </w:tcPr>
          <w:p>
            <w:pPr>
              <w:spacing w:after="0"/>
              <w:rPr>
                <w:sz w:val="22"/>
                <w:szCs w:val="22"/>
                <w:color w:val="auto"/>
              </w:rPr>
            </w:pPr>
          </w:p>
        </w:tc>
      </w:tr>
      <w:tr>
        <w:trPr>
          <w:trHeight w:val="263"/>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CCEEFF"/>
            </w:tcBorders>
            <w:gridSpan w:val="2"/>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280" w:type="dxa"/>
            <w:vAlign w:val="bottom"/>
            <w:tcBorders>
              <w:bottom w:val="single" w:sz="8" w:color="CCEEFF"/>
            </w:tcBorders>
          </w:tcPr>
          <w:p>
            <w:pPr>
              <w:spacing w:after="0"/>
              <w:rPr>
                <w:sz w:val="22"/>
                <w:szCs w:val="22"/>
                <w:color w:val="auto"/>
              </w:rPr>
            </w:pPr>
          </w:p>
        </w:tc>
      </w:tr>
      <w:tr>
        <w:trPr>
          <w:trHeight w:val="25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41,075</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70,296</w:t>
            </w:r>
          </w:p>
        </w:tc>
        <w:tc>
          <w:tcPr>
            <w:tcW w:w="280" w:type="dxa"/>
            <w:vAlign w:val="bottom"/>
            <w:shd w:val="clear" w:color="auto" w:fill="CCEEFF"/>
          </w:tcPr>
          <w:p>
            <w:pPr>
              <w:spacing w:after="0"/>
              <w:rPr>
                <w:sz w:val="22"/>
                <w:szCs w:val="22"/>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52120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-1550670</wp:posOffset>
            </wp:positionV>
            <wp:extent cx="52120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-2047875</wp:posOffset>
            </wp:positionV>
            <wp:extent cx="44919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64" w:lineRule="exact"/>
        <w:rPr>
          <w:sz w:val="20"/>
          <w:szCs w:val="20"/>
          <w:color w:val="auto"/>
        </w:rPr>
      </w:pPr>
    </w:p>
    <w:p>
      <w:pPr>
        <w:ind w:left="1260" w:right="2180" w:firstLine="360"/>
        <w:spacing w:after="0" w:line="266"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81" w:lineRule="exact"/>
        <w:rPr>
          <w:sz w:val="20"/>
          <w:szCs w:val="20"/>
          <w:color w:val="auto"/>
        </w:rPr>
      </w:pPr>
    </w:p>
    <w:p>
      <w:pPr>
        <w:ind w:left="1260" w:right="1760"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81"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90" w:lineRule="exact"/>
        <w:rPr>
          <w:sz w:val="20"/>
          <w:szCs w:val="20"/>
          <w:color w:val="auto"/>
        </w:rPr>
      </w:pPr>
    </w:p>
    <w:p>
      <w:pPr>
        <w:ind w:left="1260" w:right="1480" w:firstLine="360"/>
        <w:spacing w:after="0" w:line="250"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Of the goodwill recorded as of June 30, 2020, $23,267 is expected to be deductible for tax purposes.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2019 and June 30,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300" w:type="dxa"/>
            <w:vAlign w:val="bottom"/>
            <w:gridSpan w:val="3"/>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tcPr>
          <w:p>
            <w:pPr>
              <w:spacing w:after="0"/>
              <w:rPr>
                <w:sz w:val="16"/>
                <w:szCs w:val="16"/>
                <w:color w:val="auto"/>
              </w:rPr>
            </w:pPr>
          </w:p>
        </w:tc>
      </w:tr>
      <w:tr>
        <w:trPr>
          <w:trHeight w:val="23"/>
        </w:trPr>
        <w:tc>
          <w:tcPr>
            <w:tcW w:w="16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16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20" w:type="dxa"/>
            <w:vAlign w:val="bottom"/>
          </w:tcPr>
          <w:p>
            <w:pPr>
              <w:spacing w:after="0"/>
              <w:rPr>
                <w:sz w:val="19"/>
                <w:szCs w:val="19"/>
                <w:color w:val="auto"/>
              </w:rPr>
            </w:pPr>
          </w:p>
        </w:tc>
      </w:tr>
      <w:tr>
        <w:trPr>
          <w:trHeight w:val="243"/>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50,637</w:t>
            </w:r>
          </w:p>
        </w:tc>
        <w:tc>
          <w:tcPr>
            <w:tcW w:w="1620" w:type="dxa"/>
            <w:vAlign w:val="bottom"/>
          </w:tcPr>
          <w:p>
            <w:pPr>
              <w:spacing w:after="0"/>
              <w:rPr>
                <w:sz w:val="21"/>
                <w:szCs w:val="21"/>
                <w:color w:val="auto"/>
              </w:rPr>
            </w:pPr>
          </w:p>
        </w:tc>
      </w:tr>
      <w:tr>
        <w:trPr>
          <w:trHeight w:val="243"/>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620" w:type="dxa"/>
            <w:vAlign w:val="bottom"/>
          </w:tcPr>
          <w:p>
            <w:pPr>
              <w:spacing w:after="0"/>
              <w:rPr>
                <w:sz w:val="21"/>
                <w:szCs w:val="21"/>
                <w:color w:val="auto"/>
              </w:rPr>
            </w:pPr>
          </w:p>
        </w:tc>
      </w:tr>
      <w:tr>
        <w:trPr>
          <w:trHeight w:val="277"/>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20" w:type="dxa"/>
            <w:vAlign w:val="bottom"/>
          </w:tcPr>
          <w:p>
            <w:pPr>
              <w:spacing w:after="0"/>
              <w:rPr>
                <w:sz w:val="24"/>
                <w:szCs w:val="24"/>
                <w:color w:val="auto"/>
              </w:rPr>
            </w:pPr>
          </w:p>
        </w:tc>
      </w:tr>
      <w:tr>
        <w:trPr>
          <w:trHeight w:val="243"/>
        </w:trPr>
        <w:tc>
          <w:tcPr>
            <w:tcW w:w="1620" w:type="dxa"/>
            <w:vAlign w:val="bottom"/>
          </w:tcPr>
          <w:p>
            <w:pPr>
              <w:spacing w:after="0"/>
              <w:rPr>
                <w:sz w:val="21"/>
                <w:szCs w:val="21"/>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102,767</w:t>
            </w:r>
          </w:p>
        </w:tc>
        <w:tc>
          <w:tcPr>
            <w:tcW w:w="1620" w:type="dxa"/>
            <w:vAlign w:val="bottom"/>
          </w:tcPr>
          <w:p>
            <w:pPr>
              <w:spacing w:after="0"/>
              <w:rPr>
                <w:sz w:val="21"/>
                <w:szCs w:val="21"/>
                <w:color w:val="auto"/>
              </w:rPr>
            </w:pPr>
          </w:p>
        </w:tc>
      </w:tr>
      <w:tr>
        <w:trPr>
          <w:trHeight w:val="277"/>
        </w:trPr>
        <w:tc>
          <w:tcPr>
            <w:tcW w:w="1620" w:type="dxa"/>
            <w:vAlign w:val="bottom"/>
          </w:tcPr>
          <w:p>
            <w:pPr>
              <w:spacing w:after="0"/>
              <w:rPr>
                <w:sz w:val="24"/>
                <w:szCs w:val="24"/>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(68,852)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(72,464)</w:t>
            </w:r>
          </w:p>
        </w:tc>
      </w:tr>
      <w:tr>
        <w:trPr>
          <w:trHeight w:val="20"/>
        </w:trPr>
        <w:tc>
          <w:tcPr>
            <w:tcW w:w="16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0"/>
        </w:trPr>
        <w:tc>
          <w:tcPr>
            <w:tcW w:w="1620" w:type="dxa"/>
            <w:vAlign w:val="bottom"/>
          </w:tcPr>
          <w:p>
            <w:pPr>
              <w:spacing w:after="0"/>
              <w:rPr>
                <w:sz w:val="23"/>
                <w:szCs w:val="2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8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62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29"/>
        </w:trPr>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20" w:type="dxa"/>
            <w:vAlign w:val="bottom"/>
            <w:gridSpan w:val="3"/>
          </w:tcPr>
          <w:p>
            <w:pPr>
              <w:jc w:val="right"/>
              <w:ind w:right="2000"/>
              <w:spacing w:after="0"/>
              <w:rPr>
                <w:sz w:val="20"/>
                <w:szCs w:val="20"/>
                <w:color w:val="auto"/>
              </w:rPr>
            </w:pPr>
            <w:r>
              <w:rPr>
                <w:rFonts w:ascii="Times New Roman" w:cs="Times New Roman" w:eastAsia="Times New Roman" w:hAnsi="Times New Roman"/>
                <w:sz w:val="18"/>
                <w:szCs w:val="18"/>
                <w:color w:val="auto"/>
              </w:rPr>
              <w:t>F-60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-882015</wp:posOffset>
            </wp:positionV>
            <wp:extent cx="431165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-1224915</wp:posOffset>
            </wp:positionV>
            <wp:extent cx="43116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-2176780</wp:posOffset>
            </wp:positionV>
            <wp:extent cx="430339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75" w:name="page276"/>
    <w:bookmarkEnd w:id="27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 (Continued)</w:t>
      </w:r>
    </w:p>
    <w:p>
      <w:pPr>
        <w:spacing w:after="0" w:line="229"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 for the six months ended June 30, 2019 and 2020 was $4,799 and $4,926,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48"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2020 are as follows:</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60" w:type="dxa"/>
            <w:vAlign w:val="bottom"/>
          </w:tcPr>
          <w:p>
            <w:pPr>
              <w:spacing w:after="0"/>
              <w:rPr>
                <w:sz w:val="17"/>
                <w:szCs w:val="17"/>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60" w:type="dxa"/>
            <w:vAlign w:val="bottom"/>
          </w:tcPr>
          <w:p>
            <w:pPr>
              <w:spacing w:after="0"/>
              <w:rPr>
                <w:sz w:val="22"/>
                <w:szCs w:val="22"/>
                <w:color w:val="auto"/>
              </w:rPr>
            </w:pPr>
          </w:p>
        </w:tc>
      </w:tr>
      <w:tr>
        <w:trPr>
          <w:trHeight w:val="25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60" w:type="dxa"/>
            <w:vAlign w:val="bottom"/>
          </w:tcPr>
          <w:p>
            <w:pPr>
              <w:spacing w:after="0"/>
              <w:rPr>
                <w:sz w:val="22"/>
                <w:szCs w:val="22"/>
                <w:color w:val="auto"/>
              </w:rPr>
            </w:pPr>
          </w:p>
        </w:tc>
      </w:tr>
      <w:tr>
        <w:trPr>
          <w:trHeight w:val="26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7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2"/>
                <w:szCs w:val="22"/>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$529,759</w:t>
            </w:r>
          </w:p>
        </w:tc>
        <w:tc>
          <w:tcPr>
            <w:tcW w:w="60" w:type="dxa"/>
            <w:vAlign w:val="bottom"/>
          </w:tcPr>
          <w:p>
            <w:pPr>
              <w:spacing w:after="0"/>
              <w:rPr>
                <w:sz w:val="22"/>
                <w:szCs w:val="22"/>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7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Details of intangible assets other than goodwill as of December 31, 2019 and June 30, 2020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0" w:type="dxa"/>
            <w:vAlign w:val="bottom"/>
          </w:tcPr>
          <w:p>
            <w:pPr>
              <w:spacing w:after="0"/>
              <w:rPr>
                <w:sz w:val="16"/>
                <w:szCs w:val="16"/>
                <w:color w:val="auto"/>
              </w:rPr>
            </w:pPr>
          </w:p>
        </w:tc>
        <w:tc>
          <w:tcPr>
            <w:tcW w:w="1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00" w:type="dxa"/>
            <w:vAlign w:val="bottom"/>
          </w:tcPr>
          <w:p>
            <w:pPr>
              <w:spacing w:after="0"/>
              <w:rPr>
                <w:sz w:val="16"/>
                <w:szCs w:val="16"/>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52"/>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5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29,160</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96,801</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32,350</w:t>
            </w: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22"/>
                <w:szCs w:val="2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10,767</w:t>
            </w:r>
          </w:p>
        </w:tc>
      </w:tr>
      <w:tr>
        <w:trPr>
          <w:trHeight w:val="2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177,395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(131,082)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189,457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(139,449)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50,008</w:t>
            </w: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-1174115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-1174115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-1174115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-1174115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-1174115</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-1174115</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-1174115</wp:posOffset>
            </wp:positionV>
            <wp:extent cx="151701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 the six months ended June 30, 2019 and 2020 was reflected in our consolidated statements of operations as follows:</w:t>
      </w:r>
    </w:p>
    <w:p>
      <w:pPr>
        <w:spacing w:after="0" w:line="35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6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r>
      <w:tr>
        <w:trPr>
          <w:trHeight w:val="26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3166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42341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62"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117"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The Company and Topcon each have a 50% ownership in DCW. The Company applies the equity method of accounting for its investment in DCW. Under the equity method, the Company recorded its</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6" w:name="page277"/>
    <w:bookmarkEnd w:id="27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 (Continued)</w:t>
      </w:r>
    </w:p>
    <w:p>
      <w:pPr>
        <w:spacing w:after="0" w:line="229"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initial investment in the joint venture at cost and subsequently adjusts that investment by the Company’s proportional share of income or losses in DCW. As of December 31, 2019 and June 30, 2020, the aggregate carrying amount of the Company’s investment in the joint venture was $1,725 and $859, respectively. The Company tests this investment for impairment whenever circumstances indicate that the carrying value of the investment may not be recoverable.</w:t>
      </w:r>
    </w:p>
    <w:p>
      <w:pPr>
        <w:spacing w:after="0" w:line="114" w:lineRule="exact"/>
        <w:rPr>
          <w:sz w:val="20"/>
          <w:szCs w:val="20"/>
          <w:color w:val="auto"/>
        </w:rPr>
      </w:pPr>
    </w:p>
    <w:p>
      <w:pPr>
        <w:jc w:val="both"/>
        <w:ind w:left="1260" w:right="899" w:firstLine="360"/>
        <w:spacing w:after="0" w:line="283" w:lineRule="auto"/>
        <w:rPr>
          <w:sz w:val="20"/>
          <w:szCs w:val="20"/>
          <w:color w:val="auto"/>
        </w:rPr>
      </w:pPr>
      <w:r>
        <w:rPr>
          <w:rFonts w:ascii="Times New Roman" w:cs="Times New Roman" w:eastAsia="Times New Roman" w:hAnsi="Times New Roman"/>
          <w:sz w:val="18"/>
          <w:szCs w:val="18"/>
          <w:color w:val="auto"/>
        </w:rPr>
        <w:t xml:space="preserve">Pursuant to ASC 850-10-20,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six months ended June 30, 2020, transactions between the Company and DCW were immaterial to the Company’s consolidated financial statements.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62"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cars, and the Company’s finance leases consist of office equipment. Finance leases are not material for the periods presented. The Company’s leases have remaining terms of less than one year to 7.3 years, some of which include one or more options to renew, with renewal terms of up to six years and some of which include options to terminate the leases within the next four years.</w:t>
      </w:r>
    </w:p>
    <w:p>
      <w:pPr>
        <w:spacing w:after="0" w:line="11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For contracts with lease and non-lease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right-of-use asset or lease liability for short-term leases (leases with a term of twelve months or less). Short-term leases are recognized in the consolidated statement of operations on a straight-line basis over the lease term. Short-term lease expense was not material for the periods presented.</w:t>
      </w:r>
    </w:p>
    <w:p>
      <w:pPr>
        <w:spacing w:after="0" w:line="10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 of operations for the six months ended June 30, 2020 were as follows: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44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6"/>
                <w:szCs w:val="26"/>
                <w:color w:val="auto"/>
                <w:vertAlign w:val="superscript"/>
              </w:rPr>
              <w:t>(1)</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shd w:val="clear" w:color="auto" w:fill="CCEEFF"/>
          </w:tcPr>
          <w:p>
            <w:pPr>
              <w:spacing w:after="0"/>
              <w:rPr>
                <w:sz w:val="22"/>
                <w:szCs w:val="22"/>
                <w:color w:val="auto"/>
              </w:rPr>
            </w:pPr>
          </w:p>
        </w:tc>
      </w:tr>
      <w:tr>
        <w:trPr>
          <w:trHeight w:val="257"/>
        </w:trPr>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63"/>
        </w:trPr>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10,748</w:t>
            </w:r>
          </w:p>
        </w:tc>
        <w:tc>
          <w:tcPr>
            <w:tcW w:w="12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-805180</wp:posOffset>
            </wp:positionV>
            <wp:extent cx="42176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4" w:lineRule="exact"/>
        <w:rPr>
          <w:sz w:val="20"/>
          <w:szCs w:val="20"/>
          <w:color w:val="auto"/>
        </w:rPr>
      </w:pPr>
    </w:p>
    <w:p>
      <w:pPr>
        <w:ind w:left="1620" w:right="819" w:hanging="358"/>
        <w:spacing w:after="0" w:line="282" w:lineRule="auto"/>
        <w:tabs>
          <w:tab w:leader="none" w:pos="1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rent cost related to operating leases for office facilities of $8,471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7" w:name="page278"/>
    <w:bookmarkEnd w:id="27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2020 was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90"/>
        </w:trPr>
        <w:tc>
          <w:tcPr>
            <w:tcW w:w="6640" w:type="dxa"/>
            <w:vAlign w:val="bottom"/>
          </w:tcPr>
          <w:p>
            <w:pPr>
              <w:spacing w:after="0"/>
              <w:rPr>
                <w:sz w:val="16"/>
                <w:szCs w:val="16"/>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3"/>
                <w:szCs w:val="23"/>
                <w:color w:val="auto"/>
              </w:rPr>
            </w:pPr>
          </w:p>
        </w:tc>
      </w:tr>
      <w:tr>
        <w:trPr>
          <w:trHeight w:val="37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2020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0"/>
        </w:trPr>
        <w:tc>
          <w:tcPr>
            <w:tcW w:w="6640" w:type="dxa"/>
            <w:vAlign w:val="bottom"/>
          </w:tcPr>
          <w:p>
            <w:pPr>
              <w:spacing w:after="0"/>
              <w:rPr>
                <w:sz w:val="16"/>
                <w:szCs w:val="16"/>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$ 9,094</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Pr>
          <w:p>
            <w:pPr>
              <w:spacing w:after="0"/>
              <w:rPr>
                <w:sz w:val="22"/>
                <w:szCs w:val="22"/>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$50,141</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-2956560</wp:posOffset>
            </wp:positionV>
            <wp:extent cx="421767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-1542415</wp:posOffset>
            </wp:positionV>
            <wp:extent cx="421767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5"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additional operating lease minimum lease payments of $213 for executed leases that have not yet commenced, primarily for office locations.</w:t>
      </w:r>
    </w:p>
    <w:p>
      <w:pPr>
        <w:spacing w:after="0" w:line="9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Total financing lease liabilities as of June 30, 2020 were $354. Supplemental balance sheet information related to financing leases as of June 30, 2020 are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0"/>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$ 520</w:t>
            </w:r>
          </w:p>
        </w:tc>
        <w:tc>
          <w:tcPr>
            <w:tcW w:w="200" w:type="dxa"/>
            <w:vAlign w:val="bottom"/>
            <w:shd w:val="clear" w:color="auto" w:fill="CCEEFF"/>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gridSpan w:val="3"/>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$ 412</w:t>
            </w:r>
          </w:p>
        </w:tc>
        <w:tc>
          <w:tcPr>
            <w:tcW w:w="200" w:type="dxa"/>
            <w:vAlign w:val="bottom"/>
            <w:shd w:val="clear" w:color="auto" w:fill="CCEEFF"/>
          </w:tcPr>
          <w:p>
            <w:pPr>
              <w:spacing w:after="0"/>
              <w:rPr>
                <w:sz w:val="22"/>
                <w:szCs w:val="22"/>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$ 176</w:t>
            </w:r>
          </w:p>
        </w:tc>
        <w:tc>
          <w:tcPr>
            <w:tcW w:w="200" w:type="dxa"/>
            <w:vAlign w:val="bottom"/>
          </w:tcPr>
          <w:p>
            <w:pPr>
              <w:spacing w:after="0"/>
              <w:rPr>
                <w:sz w:val="20"/>
                <w:szCs w:val="20"/>
                <w:color w:val="auto"/>
              </w:rPr>
            </w:pP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CCEEFF"/>
            </w:tcBorders>
            <w:gridSpan w:val="3"/>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7"/>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$ 354</w:t>
            </w:r>
          </w:p>
        </w:tc>
        <w:tc>
          <w:tcPr>
            <w:tcW w:w="20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-728345</wp:posOffset>
            </wp:positionV>
            <wp:extent cx="474916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-1071245</wp:posOffset>
            </wp:positionV>
            <wp:extent cx="421767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229"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2019, under the prior lease standard (Topic 840), future minimum lease payments under noncancellable operating leases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$ 84,180</w:t>
            </w: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benefits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to customers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facility costs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-3625215</wp:posOffset>
            </wp:positionV>
            <wp:extent cx="474916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-4619625</wp:posOffset>
            </wp:positionV>
            <wp:extent cx="42087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-213995</wp:posOffset>
            </wp:positionV>
            <wp:extent cx="431165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-2553970</wp:posOffset>
            </wp:positionV>
            <wp:extent cx="430339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2019 and June 30, 2020:</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7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
        </w:trPr>
        <w:tc>
          <w:tcPr>
            <w:tcW w:w="5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6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revolver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$233,750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$207,000</w:t>
            </w:r>
          </w:p>
        </w:tc>
      </w:tr>
      <w:tr>
        <w:trPr>
          <w:trHeight w:val="20"/>
        </w:trPr>
        <w:tc>
          <w:tcPr>
            <w:tcW w:w="5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233,750</w:t>
            </w:r>
          </w:p>
        </w:tc>
        <w:tc>
          <w:tcPr>
            <w:tcW w:w="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207,000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31165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-522605</wp:posOffset>
            </wp:positionV>
            <wp:extent cx="430339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9" w:name="page280"/>
    <w:bookmarkEnd w:id="27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 (Continued)</w:t>
      </w:r>
    </w:p>
    <w:p>
      <w:pPr>
        <w:spacing w:after="0" w:line="225"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 </w:t>
      </w:r>
      <w:r>
        <w:rPr>
          <w:rFonts w:ascii="Times New Roman" w:cs="Times New Roman" w:eastAsia="Times New Roman" w:hAnsi="Times New Roman"/>
          <w:sz w:val="18"/>
          <w:szCs w:val="18"/>
          <w:color w:val="auto"/>
        </w:rPr>
        <w:t>On December 19, 2017, the Company entered into an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(the “Credit Facility”), which matures on December 18, 2022. Upon entry into the Credit Facility, the Company obtained a $500,000 senior secured revolving facility and refinanced all indebtedness outstanding under its prior facility.</w:t>
      </w:r>
    </w:p>
    <w:p>
      <w:pPr>
        <w:spacing w:after="0" w:line="100"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 facility. The Company had $ 546 and $150 of letters of credit and surety bonds outstanding as of December 31, 2019 and June 30, 2020, respectively. As of December 31, 2019 and June 30, 2020, the Company had $265,704 and $292,850 available under the Credit Facility.</w:t>
      </w:r>
    </w:p>
    <w:p>
      <w:pPr>
        <w:spacing w:after="0" w:line="116"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 Euro currency interest rate elections. Interest on the Euro currency borrowings is at the one-month London Interbank Offered Rate (“LIBOR”) plus a spread ranging from 100 basis points (“bps”) to 225 bps as determined by the Company’s net leverage ratio. Under the non- Euro currency elections, Credit Facility borrowings bear a base interest rate of the greater of (i) the prime rate, (ii) the overnight bank funding effective rate plus 50 bps, or</w:t>
      </w:r>
    </w:p>
    <w:p>
      <w:pPr>
        <w:spacing w:after="0" w:line="2" w:lineRule="exact"/>
        <w:rPr>
          <w:sz w:val="20"/>
          <w:szCs w:val="20"/>
          <w:color w:val="auto"/>
        </w:rPr>
      </w:pPr>
    </w:p>
    <w:p>
      <w:pPr>
        <w:ind w:left="1260" w:right="759" w:firstLine="2"/>
        <w:spacing w:after="0" w:line="239" w:lineRule="auto"/>
        <w:tabs>
          <w:tab w:leader="none" w:pos="159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118"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2019 and June 30, 2020, the Company was in compliance with all covenants in its debt agreements.</w:t>
      </w:r>
    </w:p>
    <w:p>
      <w:pPr>
        <w:spacing w:after="0" w:line="311"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$ 200,000.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At June 30, 2020, the fair value of the swap was $4,174.</w:t>
      </w:r>
    </w:p>
    <w:p>
      <w:pPr>
        <w:spacing w:after="0" w:line="3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There was no accrued interest or fees as of December 31, 2019. As of June 30, 2020, accrued interest and fees was $33. Interest expense was $4,600 and $2,544 for the six months ended June 30, 2019 and 2020, respectively.</w:t>
      </w:r>
    </w:p>
    <w:p>
      <w:pPr>
        <w:spacing w:after="0" w:line="112" w:lineRule="exact"/>
        <w:rPr>
          <w:sz w:val="20"/>
          <w:szCs w:val="20"/>
          <w:color w:val="auto"/>
        </w:rPr>
      </w:pPr>
    </w:p>
    <w:p>
      <w:pPr>
        <w:ind w:left="1260" w:right="1459" w:firstLine="360"/>
        <w:spacing w:after="0" w:line="282"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$277 for the six months ended June 30, 2019 and 2020.</w:t>
      </w:r>
    </w:p>
    <w:p>
      <w:pPr>
        <w:spacing w:after="0" w:line="77" w:lineRule="exact"/>
        <w:rPr>
          <w:sz w:val="20"/>
          <w:szCs w:val="20"/>
          <w:color w:val="auto"/>
        </w:rPr>
      </w:pPr>
    </w:p>
    <w:p>
      <w:pPr>
        <w:ind w:left="1260" w:right="12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Interest expense related to other obligations was $144 and $25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and 2020, respectively.</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adjusted operating profits, as defined in the plan agreement and before deductions for such plan payments,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Executive Bonus Plan (Continued)</w:t>
      </w:r>
    </w:p>
    <w:p>
      <w:pPr>
        <w:spacing w:after="0" w:line="229"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six months ended June 30, 2019 and 2020, the incentive compensation, including cash payments and deferred compensation to plan participants, recognized under this plan (net of all applicable holdbacks) was $13,639 and $16,564,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 based full-time colleagues. The Company may make discretionary profit-sharing contributions to the Plan up to a maximum of 5% of “qualified cash compensation” for each eligible participating colleague. Non-discretionary (matching) 401(k) contributions to the Plan, for full-time U.S. colleagues, were $1,843 and $1,950, for the six months ended June 30, 2019 and 2020, respectively. The Company also maintains various retirement benefit plans (primarily defined contribution plans) for colleagues of its international subsidiaries. Contributions to these plans were $4,075 and $3,764, for the six months ended June 30, 2019 and 2020, respectively.</w:t>
      </w:r>
    </w:p>
    <w:p>
      <w:pPr>
        <w:spacing w:after="0" w:line="32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six months ended June 30, 2019 and 2020.</w:t>
      </w:r>
    </w:p>
    <w:p>
      <w:pPr>
        <w:spacing w:after="0" w:line="124"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$2,544 and $2,250 as of December 31, 2019 and June 30, 2020, respectively.</w:t>
      </w:r>
    </w:p>
    <w:p>
      <w:pPr>
        <w:spacing w:after="0" w:line="99"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six months ended June 30, 2019 and 2020, respectively:</w:t>
      </w:r>
    </w:p>
    <w:p>
      <w:pPr>
        <w:spacing w:after="0" w:line="12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7461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63"/>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DCP related compensation (income) expense</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42341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144" w:lineRule="exact"/>
        <w:rPr>
          <w:sz w:val="20"/>
          <w:szCs w:val="20"/>
          <w:color w:val="auto"/>
        </w:rPr>
      </w:pPr>
    </w:p>
    <w:p>
      <w:pPr>
        <w:ind w:left="1260" w:right="9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Common Shares — </w:t>
      </w:r>
      <w:r>
        <w:rPr>
          <w:rFonts w:ascii="Times New Roman" w:cs="Times New Roman" w:eastAsia="Times New Roman" w:hAnsi="Times New Roman"/>
          <w:sz w:val="18"/>
          <w:szCs w:val="18"/>
          <w:color w:val="auto"/>
        </w:rPr>
        <w:t>The Company amended and restated its Certificate of Incorporation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 2018 to authorize 320,000,000 shares of Class A Voting Common Stock (“Class A Common Stock”) and 600,000,000 shares of Class B Common Stock. As of December 31, 2019 and June 30, 2020, outstanding shares of Class A Common Stock totaled 11,601,757 and outstanding shares of Class B Common Stock totaled 243,241,192 and 247,607,598, respectively.</w:t>
      </w:r>
    </w:p>
    <w:p>
      <w:pPr>
        <w:sectPr>
          <w:pgSz w:w="11900" w:h="16838" w:orient="portrait"/>
          <w:cols w:equalWidth="0" w:num="1">
            <w:col w:w="10139"/>
          </w:cols>
          <w:pgMar w:left="320" w:top="114"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1" w:name="page282"/>
    <w:bookmarkEnd w:id="28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112" w:lineRule="exact"/>
        <w:rPr>
          <w:sz w:val="20"/>
          <w:szCs w:val="20"/>
          <w:color w:val="auto"/>
        </w:rPr>
      </w:pPr>
    </w:p>
    <w:p>
      <w:pPr>
        <w:ind w:left="1260" w:right="1079" w:firstLine="360"/>
        <w:spacing w:after="0" w:line="261"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w:t>
      </w:r>
    </w:p>
    <w:p>
      <w:pPr>
        <w:ind w:left="1260" w:right="799" w:firstLine="2"/>
        <w:spacing w:after="0" w:line="260" w:lineRule="auto"/>
        <w:tabs>
          <w:tab w:leader="none" w:pos="154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agreement from 2026 to 2030, and (iii) granted the Company the right to retain a portion of the shares that would otherwise be sold to the investor.</w:t>
      </w:r>
    </w:p>
    <w:p>
      <w:pPr>
        <w:spacing w:after="0" w:line="100"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11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2020, the investor purchased 4,574,567 shares under the Common Stock Purchase Agreement, with 3,769,346 of such shares having been repurchased by the Company and re-sold to the investor for consideration of $58,349 and 805,053 shares acquired directly by the investor for consideration of $12,462.</w:t>
      </w:r>
    </w:p>
    <w:p>
      <w:pPr>
        <w:spacing w:after="0" w:line="11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2019, the Company issued net 2,657,027 shares of Class B Common Stock to colleagues who exercised their stock options. Of the total options exercised for 3,805,781 shares, 916,965 shares were issued for cash totaling $2,192, and the remaining options for 2,888,816 shares were exercised on a cashless basis, and accordingly, 1,148,754 shares were sold back to the Company to pay for the cost of the options as well as applicable income tax withholdings of $2,161. During the six months ended June 30, 2019, the Company paid $3,149 for 401,352 shares sold back to the Company upon exercise of the Put and Call provisions under the amended option plan (see Note 15).</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2020, the Company issued net 2,184,628 shares of Class B Common Stock to colleagues who exercised their stock options. Of the total options exercised for 3,410,554 shares, 566,362 shares were issued for cash totaling $2,237, and the remaining options for 2,844,192 shares were exercised on a cashless basis, and accordingly, 1,225,926 shares were sold back to the Company to pay for the cost of the options as well as applicable income tax withholdings of $3,064. During the six months ended June 30, 2020, the Company paid $1,454 for 128,176 shares sold back to the Company upon exercise of the Put and Call provisions under the amended option plan (see Note 15).</w:t>
      </w:r>
    </w:p>
    <w:p>
      <w:pPr>
        <w:spacing w:after="0" w:line="121"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issued 2,230,430 and 2,959,731, respectively, of shares of Class B Common Stock to DCP participants for their distribution. The distribution in shares for the six months ended June 30, 2019 totaled 2,907,630 of which 677,200 shares were sold back to the Company to pay for the cost of applicable income tax withholding of $4,953. The distribution in shares for the six months ended June 30, 2020 totaled 3,137,961 shares of which 178,230 shares were sold back to the Company in the same period to pay for applicable income tax withholdings of $1,830.</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2" w:name="page283"/>
    <w:bookmarkEnd w:id="28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 (Continued)</w:t>
      </w:r>
    </w:p>
    <w:p>
      <w:pPr>
        <w:spacing w:after="0" w:line="229" w:lineRule="exact"/>
        <w:rPr>
          <w:sz w:val="20"/>
          <w:szCs w:val="20"/>
          <w:color w:val="auto"/>
        </w:rPr>
      </w:pPr>
    </w:p>
    <w:p>
      <w:pPr>
        <w:ind w:left="1260" w:right="1340"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did not award Class B Common Stock in conjunction with profit sharing plan contributions. During the six months ended June 30, 2019 and 2020, the Company repurchased 160,963 and 385,568 shares from its profit sharing plan for $1,213 and $4,428, respectively.</w:t>
      </w:r>
    </w:p>
    <w:p>
      <w:pPr>
        <w:spacing w:after="0" w:line="95"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Class B Common Stock — </w:t>
      </w:r>
      <w:r>
        <w:rPr>
          <w:rFonts w:ascii="Times New Roman" w:cs="Times New Roman" w:eastAsia="Times New Roman" w:hAnsi="Times New Roman"/>
          <w:sz w:val="18"/>
          <w:szCs w:val="18"/>
          <w:color w:val="auto"/>
        </w:rPr>
        <w:t>Pursuant to the terms of the Company’s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3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The Company declared cash dividends during the periods presented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64"/>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30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12,643</w:t>
            </w:r>
          </w:p>
        </w:tc>
      </w:tr>
      <w:tr>
        <w:trPr>
          <w:trHeight w:val="203"/>
        </w:trPr>
        <w:tc>
          <w:tcPr>
            <w:tcW w:w="5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15,437</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-1388110</wp:posOffset>
            </wp:positionV>
            <wp:extent cx="436308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1920" w:type="dxa"/>
            <w:vAlign w:val="bottom"/>
            <w:gridSpan w:val="2"/>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2"/>
                <w:szCs w:val="22"/>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$(28,867)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$(29,414)</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520" w:type="dxa"/>
            <w:vAlign w:val="bottom"/>
            <w:tcBorders>
              <w:top w:val="single" w:sz="8" w:color="CCEEFF"/>
            </w:tcBorders>
            <w:gridSpan w:val="3"/>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4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128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1920" w:type="dxa"/>
            <w:vAlign w:val="bottom"/>
            <w:gridSpan w:val="2"/>
          </w:tcPr>
          <w:p>
            <w:pPr>
              <w:jc w:val="right"/>
              <w:ind w:right="1101"/>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1260" w:type="dxa"/>
            <w:vAlign w:val="bottom"/>
          </w:tcPr>
          <w:p>
            <w:pPr>
              <w:spacing w:after="0"/>
              <w:rPr>
                <w:sz w:val="22"/>
                <w:szCs w:val="22"/>
                <w:color w:val="auto"/>
              </w:rPr>
            </w:pPr>
          </w:p>
        </w:tc>
        <w:tc>
          <w:tcPr>
            <w:tcW w:w="390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520" w:type="dxa"/>
            <w:vAlign w:val="bottom"/>
            <w:tcBorders>
              <w:top w:val="single" w:sz="8" w:color="CCEEFF"/>
              <w:bottom w:val="single" w:sz="8" w:color="CCEEFF"/>
            </w:tcBorders>
            <w:gridSpan w:val="3"/>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242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(26,461)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(26,998</w:t>
            </w:r>
          </w:p>
        </w:tc>
        <w:tc>
          <w:tcPr>
            <w:tcW w:w="124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98"/>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20" w:type="dxa"/>
            <w:vAlign w:val="bottom"/>
            <w:gridSpan w:val="6"/>
          </w:tcPr>
          <w:p>
            <w:pPr>
              <w:jc w:val="right"/>
              <w:ind w:right="2060"/>
              <w:spacing w:after="0"/>
              <w:rPr>
                <w:sz w:val="20"/>
                <w:szCs w:val="20"/>
                <w:color w:val="auto"/>
              </w:rPr>
            </w:pPr>
            <w:r>
              <w:rPr>
                <w:rFonts w:ascii="Times New Roman" w:cs="Times New Roman" w:eastAsia="Times New Roman" w:hAnsi="Times New Roman"/>
                <w:sz w:val="18"/>
                <w:szCs w:val="18"/>
                <w:color w:val="auto"/>
                <w:w w:val="99"/>
              </w:rPr>
              <w:t>F-68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-1396365</wp:posOffset>
            </wp:positionV>
            <wp:extent cx="5212080" cy="1714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479171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47834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83" w:name="page284"/>
    <w:bookmarkEnd w:id="28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$(22,908)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$(23,927)</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$(27,411)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$(28,404)</w:t>
            </w:r>
          </w:p>
        </w:tc>
        <w:tc>
          <w:tcPr>
            <w:tcW w:w="60" w:type="dxa"/>
            <w:vAlign w:val="bottom"/>
          </w:tcPr>
          <w:p>
            <w:pPr>
              <w:spacing w:after="0"/>
              <w:rPr>
                <w:sz w:val="22"/>
                <w:szCs w:val="22"/>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-908050</wp:posOffset>
            </wp:positionV>
            <wp:extent cx="47834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162"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The Company has equity awards outstanding under its Amended and Restated 2015 Equity Incentive Plan (the “Equity Incentive Plan”) which provides for the granting of awards in the form of stock options, stock appreciation rights, dividend equivalent rights, restricted stock, restricted stock units, and stock grants. The Equity Incentive Plan has 50,000,000 shares of Class B Common Stock reserved for issuance and terminates in November 2024.</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activity under the stockholder-approved plan.</w:t>
      </w:r>
    </w:p>
    <w:p>
      <w:pPr>
        <w:spacing w:after="0" w:line="14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Options — </w:t>
      </w:r>
      <w:r>
        <w:rPr>
          <w:rFonts w:ascii="Times New Roman" w:cs="Times New Roman" w:eastAsia="Times New Roman" w:hAnsi="Times New Roman"/>
          <w:sz w:val="18"/>
          <w:szCs w:val="18"/>
          <w:color w:val="auto"/>
        </w:rPr>
        <w:t>Stock options generally vest ratably on each of the first four anniversaries of the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Stock options granted under this plan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 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315"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The Company granted options for a total of 4,816,000 shares on March 22, 2019 and 10,000 shares on May 15, 2019. The fair value of the awards was estimated on the date of grant using the Black-Scholes option pricing model. The grant date fair value of each option to acquire a share of Class B Common Stock was $1.66 and $1.65, respectively.</w:t>
      </w:r>
    </w:p>
    <w:p>
      <w:pPr>
        <w:spacing w:after="0" w:line="113"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Company granted options for a total of 10,000 shares on March 12, 2020. The fair value of the awards was estimated on the date of grant using the Black-Scholes option pricing model. The grant date fair value of each option to acquire a share of Class B Common Stock was $2.49.</w:t>
      </w:r>
    </w:p>
    <w:p>
      <w:pPr>
        <w:spacing w:after="0" w:line="92" w:lineRule="exact"/>
        <w:rPr>
          <w:sz w:val="20"/>
          <w:szCs w:val="20"/>
          <w:color w:val="auto"/>
        </w:rPr>
      </w:pPr>
    </w:p>
    <w:p>
      <w:pPr>
        <w:ind w:left="1260" w:right="8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Grants — </w:t>
      </w:r>
      <w:r>
        <w:rPr>
          <w:rFonts w:ascii="Times New Roman" w:cs="Times New Roman" w:eastAsia="Times New Roman" w:hAnsi="Times New Roman"/>
          <w:sz w:val="18"/>
          <w:szCs w:val="18"/>
          <w:color w:val="auto"/>
        </w:rPr>
        <w:t>Under the Equity Incentive Plan, the Company may grant unrestricted, fully 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B Common Stock to eligible colleagues. Any such shares awarded have Put and Call rights similar to those described above with respect to stock options</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the six months ended June 30, 2019. The Company granted 17,411 fully vested shares of Class B Common Stock during the six months ended June 30, 2020.</w:t>
      </w:r>
    </w:p>
    <w:p>
      <w:pPr>
        <w:spacing w:after="0" w:line="105" w:lineRule="exact"/>
        <w:rPr>
          <w:sz w:val="20"/>
          <w:szCs w:val="20"/>
          <w:color w:val="auto"/>
        </w:rPr>
      </w:pPr>
    </w:p>
    <w:p>
      <w:pPr>
        <w:ind w:left="1260" w:right="17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 </w:t>
      </w:r>
      <w:r>
        <w:rPr>
          <w:rFonts w:ascii="Times New Roman" w:cs="Times New Roman" w:eastAsia="Times New Roman" w:hAnsi="Times New Roman"/>
          <w:sz w:val="18"/>
          <w:szCs w:val="18"/>
          <w:color w:val="auto"/>
        </w:rPr>
        <w:t>Under the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shares of restricted Class B Common Stock to eligible colleagues.</w:t>
      </w:r>
    </w:p>
    <w:p>
      <w:pPr>
        <w:spacing w:after="0" w:line="77"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the Company granted 493,840 shares of restricted stock, all of which were subject to performance-based vesting as determined by the achievement of business growth</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4" w:name="page285"/>
    <w:bookmarkEnd w:id="28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260" w:right="699"/>
        <w:spacing w:after="0" w:line="256" w:lineRule="auto"/>
        <w:rPr>
          <w:sz w:val="20"/>
          <w:szCs w:val="20"/>
          <w:color w:val="auto"/>
        </w:rPr>
      </w:pPr>
      <w:r>
        <w:rPr>
          <w:rFonts w:ascii="Times New Roman" w:cs="Times New Roman" w:eastAsia="Times New Roman" w:hAnsi="Times New Roman"/>
          <w:sz w:val="18"/>
          <w:szCs w:val="18"/>
          <w:color w:val="auto"/>
        </w:rPr>
        <w:t>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six months ended June 30, 2019, the performance conditions to vesting were satisfied in respect of 111,224 of these shares, of which 18,763 shares were sold back to the Company to settle applicable income tax withholdings of $136.</w:t>
      </w:r>
    </w:p>
    <w:p>
      <w:pPr>
        <w:spacing w:after="0" w:line="10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2020, the Company granted 12,454 shares of restricted stock, which are subject to a quarterly time-based vesting schedule ending March 31, 2021. No performance shares were granted during the six months ended June 30, 2020. Of the performance shares that vested in 2019, 8,774 shares were sold back to the Company to settle applicable income tax withholdings of $95, with the remaining shares delivered to participants in the six months ended June 30, 2020. Of the performance shares granted in 2019, 292,131 did not vest and were canceled during the six months ended June 30, 2020.</w:t>
      </w:r>
    </w:p>
    <w:p>
      <w:pPr>
        <w:spacing w:after="0" w:line="116" w:lineRule="exact"/>
        <w:rPr>
          <w:sz w:val="20"/>
          <w:szCs w:val="20"/>
          <w:color w:val="auto"/>
        </w:rPr>
      </w:pPr>
    </w:p>
    <w:p>
      <w:pPr>
        <w:ind w:left="1260" w:right="10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 </w:t>
      </w:r>
      <w:r>
        <w:rPr>
          <w:rFonts w:ascii="Times New Roman" w:cs="Times New Roman" w:eastAsia="Times New Roman" w:hAnsi="Times New Roman"/>
          <w:sz w:val="18"/>
          <w:szCs w:val="18"/>
          <w:color w:val="auto"/>
        </w:rPr>
        <w:t>Under the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based restricted stock units (“RSUs”) to eligible colleagues, which entitle the grantee to receive a specific number of shares of our Class B Common Stock upon vesting. These shares also have dividend equivalent rights.</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No restricted stock units were granted during the six months ended June 30, 2019 or 2020.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six months ended June 30, 2020, 9,830 shares were delivered to colleagues and 3,168 shares were sold back to the Company to settle income tax withholdings of $26. As of December 31, 2019 and June 30, 2020, 54,770 and 45,151, respectively, of these RSUs remained outstanding.</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23"/>
        </w:trPr>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3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
        </w:trPr>
        <w:tc>
          <w:tcPr>
            <w:tcW w:w="5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6"/>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activity:</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r>
      <w:tr>
        <w:trPr>
          <w:trHeight w:val="257"/>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(3,410,554)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6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56"/>
        </w:trPr>
        <w:tc>
          <w:tcPr>
            <w:tcW w:w="5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15,099,363</w:t>
            </w:r>
          </w:p>
        </w:tc>
        <w:tc>
          <w:tcPr>
            <w:tcW w:w="20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$5.23 – $10.84</w:t>
            </w:r>
          </w:p>
        </w:tc>
        <w:tc>
          <w:tcPr>
            <w:tcW w:w="1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-1028065</wp:posOffset>
            </wp:positionV>
            <wp:extent cx="13716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-1028065</wp:posOffset>
            </wp:positionV>
            <wp:extent cx="397764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5" w:name="page286"/>
    <w:bookmarkEnd w:id="28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under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Equity Incentive Plan as of June 30, 2020:</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Weighted Remaining</w:t>
            </w:r>
          </w:p>
        </w:tc>
        <w:tc>
          <w:tcPr>
            <w:tcW w:w="72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gridSpan w:val="4"/>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8"/>
              </w:rPr>
              <w:t>Number of Options</w:t>
            </w:r>
          </w:p>
        </w:tc>
        <w:tc>
          <w:tcPr>
            <w:tcW w:w="22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720" w:type="dxa"/>
            <w:vAlign w:val="bottom"/>
          </w:tcPr>
          <w:p>
            <w:pPr>
              <w:spacing w:after="0"/>
              <w:rPr>
                <w:sz w:val="14"/>
                <w:szCs w:val="14"/>
                <w:color w:val="auto"/>
              </w:rPr>
            </w:pPr>
          </w:p>
        </w:tc>
      </w:tr>
      <w:tr>
        <w:trPr>
          <w:trHeight w:val="19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r>
      <w:tr>
        <w:trPr>
          <w:trHeight w:val="23"/>
        </w:trPr>
        <w:tc>
          <w:tcPr>
            <w:tcW w:w="3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$5.23 – $6.00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6,328,614</w:t>
            </w: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5,343,930</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6.01</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8,760,749</w:t>
            </w:r>
          </w:p>
        </w:tc>
        <w:tc>
          <w:tcPr>
            <w:tcW w:w="180" w:type="dxa"/>
            <w:vAlign w:val="bottom"/>
          </w:tcPr>
          <w:p>
            <w:pPr>
              <w:spacing w:after="0"/>
              <w:rPr>
                <w:sz w:val="22"/>
                <w:szCs w:val="22"/>
                <w:color w:val="auto"/>
              </w:rPr>
            </w:pPr>
          </w:p>
        </w:tc>
        <w:tc>
          <w:tcPr>
            <w:tcW w:w="150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3,068,999</w:t>
            </w:r>
          </w:p>
        </w:tc>
      </w:tr>
      <w:tr>
        <w:trPr>
          <w:trHeight w:val="263"/>
        </w:trPr>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8.01</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10.84</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15,099,363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8,412,929</w:t>
            </w:r>
          </w:p>
        </w:tc>
      </w:tr>
      <w:tr>
        <w:trPr>
          <w:trHeight w:val="20"/>
        </w:trPr>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-711200</wp:posOffset>
            </wp:positionV>
            <wp:extent cx="13716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-711200</wp:posOffset>
            </wp:positionV>
            <wp:extent cx="1371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-711200</wp:posOffset>
            </wp:positionV>
            <wp:extent cx="1371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and the six months ended June 30, 2020, the Company received cash proceeds of $3,612 and $2,237, respectively, related to the exercise of stock options.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under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Equity Incentive Plan as of June 30, 2020:</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8"/>
              </w:rPr>
              <w:t>Weighted Remaining</w:t>
            </w:r>
          </w:p>
        </w:tc>
      </w:tr>
      <w:tr>
        <w:trPr>
          <w:trHeight w:val="162"/>
        </w:trPr>
        <w:tc>
          <w:tcPr>
            <w:tcW w:w="2740" w:type="dxa"/>
            <w:vAlign w:val="bottom"/>
          </w:tcPr>
          <w:p>
            <w:pPr>
              <w:spacing w:after="0"/>
              <w:rPr>
                <w:sz w:val="14"/>
                <w:szCs w:val="1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r>
      <w:tr>
        <w:trPr>
          <w:trHeight w:val="190"/>
        </w:trPr>
        <w:tc>
          <w:tcPr>
            <w:tcW w:w="2740" w:type="dxa"/>
            <w:vAlign w:val="bottom"/>
          </w:tcPr>
          <w:p>
            <w:pPr>
              <w:spacing w:after="0"/>
              <w:rPr>
                <w:sz w:val="16"/>
                <w:szCs w:val="16"/>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23"/>
        </w:trPr>
        <w:tc>
          <w:tcPr>
            <w:tcW w:w="2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June 30, 2020</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15,099,363</w:t>
            </w:r>
          </w:p>
        </w:tc>
        <w:tc>
          <w:tcPr>
            <w:tcW w:w="130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22"/>
                <w:szCs w:val="22"/>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138,476</w:t>
            </w:r>
          </w:p>
        </w:tc>
        <w:tc>
          <w:tcPr>
            <w:tcW w:w="15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7"/>
              </w:rPr>
              <w:t>2.5</w:t>
            </w:r>
          </w:p>
        </w:tc>
      </w:tr>
      <w:tr>
        <w:trPr>
          <w:trHeight w:val="25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8,412,929</w:t>
            </w:r>
          </w:p>
        </w:tc>
        <w:tc>
          <w:tcPr>
            <w:tcW w:w="130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80,584</w:t>
            </w:r>
          </w:p>
        </w:tc>
        <w:tc>
          <w:tcPr>
            <w:tcW w:w="15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7"/>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-496570</wp:posOffset>
            </wp:positionV>
            <wp:extent cx="1371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-496570</wp:posOffset>
            </wp:positionV>
            <wp:extent cx="12890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23831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Options — </w:t>
      </w:r>
      <w:r>
        <w:rPr>
          <w:rFonts w:ascii="Times New Roman" w:cs="Times New Roman" w:eastAsia="Times New Roman" w:hAnsi="Times New Roman"/>
          <w:sz w:val="18"/>
          <w:szCs w:val="18"/>
          <w:color w:val="auto"/>
        </w:rPr>
        <w:t>In addition to options granted under the Company’s Equity Incentive Plan,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an acquisition completed in March 2018, the Company issued to certain selling shareholder entities options to acquire an aggregate of up to 900,000 shares of Class B Common Stock. The options have a five-year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As of December 31, 2019 and June 30, 2020, all options to acquire 900,000 shares remain outstanding. As of June 30, 2020, these options are non-exercisable and have an aggregate intrinsic value of $7,808.</w:t>
      </w:r>
    </w:p>
    <w:p>
      <w:pPr>
        <w:spacing w:after="0" w:line="108"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During the six months ended June 30, 2019 and 2020, the Company recorded $3,220 and $2,956, respectively, of stock-based compensation expense related to stock options, $805 and $37, respectively, of compensation expense related to restricted stock, and $0 and $219, respectively, of stock-based compensation expense related to grants of fully vested shares.</w:t>
      </w:r>
    </w:p>
    <w:p>
      <w:pPr>
        <w:spacing w:after="0" w:line="116" w:lineRule="exact"/>
        <w:rPr>
          <w:sz w:val="20"/>
          <w:szCs w:val="20"/>
          <w:color w:val="auto"/>
        </w:rPr>
      </w:pPr>
    </w:p>
    <w:p>
      <w:pPr>
        <w:jc w:val="both"/>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was $9,036 of unrecognized compensation cost related to unvested stock options, which is expected to be recognized over a weighted average period of approximately 2.3 years.</w:t>
      </w:r>
    </w:p>
    <w:p>
      <w:pPr>
        <w:spacing w:after="0" w:line="9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six months ended June 30, 2019 and 2020 was $19,995 and $30,536, respectively.</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6" w:name="page287"/>
    <w:bookmarkEnd w:id="28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260" w:right="939" w:firstLine="360"/>
        <w:spacing w:after="0" w:line="241"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 -based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101" w:lineRule="exact"/>
        <w:rPr>
          <w:sz w:val="20"/>
          <w:szCs w:val="20"/>
          <w:color w:val="auto"/>
        </w:rPr>
      </w:pPr>
    </w:p>
    <w:p>
      <w:pPr>
        <w:ind w:left="1620" w:right="679"/>
        <w:spacing w:after="0" w:line="24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stock price volatility for the Company’s common stock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by taking 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324" w:lineRule="exact"/>
        <w:rPr>
          <w:sz w:val="20"/>
          <w:szCs w:val="20"/>
          <w:color w:val="auto"/>
        </w:rPr>
      </w:pPr>
    </w:p>
    <w:p>
      <w:pPr>
        <w:ind w:left="1620" w:right="679"/>
        <w:spacing w:after="0" w:line="255"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Prior to 2015, the Company had never declared or paid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Consequently, the Company used an expected dividend yield of zero for all option grants prior to 2015. 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117" w:lineRule="exact"/>
        <w:rPr>
          <w:sz w:val="20"/>
          <w:szCs w:val="20"/>
          <w:color w:val="auto"/>
        </w:rPr>
      </w:pPr>
    </w:p>
    <w:p>
      <w:pPr>
        <w:ind w:left="1620" w:right="759"/>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Company’s stock-based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simplified method, which represents the average period from vesting to the expiration of the award.</w:t>
      </w:r>
    </w:p>
    <w:p>
      <w:pPr>
        <w:spacing w:after="0" w:line="92" w:lineRule="exact"/>
        <w:rPr>
          <w:sz w:val="20"/>
          <w:szCs w:val="20"/>
          <w:color w:val="auto"/>
        </w:rPr>
      </w:pPr>
    </w:p>
    <w:p>
      <w:pPr>
        <w:ind w:left="1620" w:right="1259"/>
        <w:spacing w:after="0" w:line="284" w:lineRule="auto"/>
        <w:rPr>
          <w:sz w:val="20"/>
          <w:szCs w:val="20"/>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 The risk-free interest rate is based on the yields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options for each option group.</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4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62"/>
        </w:trPr>
        <w:tc>
          <w:tcPr>
            <w:tcW w:w="5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90"/>
        </w:trPr>
        <w:tc>
          <w:tcPr>
            <w:tcW w:w="5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3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31.04%</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1.11%</w:t>
            </w:r>
          </w:p>
        </w:tc>
      </w:tr>
      <w:tr>
        <w:trPr>
          <w:trHeight w:val="25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1.31%</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3.75</w:t>
            </w:r>
          </w:p>
        </w:tc>
        <w:tc>
          <w:tcPr>
            <w:tcW w:w="13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8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$ 1.66</w:t>
            </w:r>
          </w:p>
        </w:tc>
        <w:tc>
          <w:tcPr>
            <w:tcW w:w="13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-831215</wp:posOffset>
            </wp:positionV>
            <wp:extent cx="402907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97"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108"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The Company paid $3,149 and $1,454 during the six months ended June 30, 2019 and 2020, respectively, to stockholders who exercised their options and elected to sell the shares back to the Company after the mandatory six-month holding period as well as for shares acquired by the Company exercising its call rights.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62" w:lineRule="exact"/>
        <w:rPr>
          <w:sz w:val="20"/>
          <w:szCs w:val="20"/>
          <w:color w:val="auto"/>
        </w:rPr>
      </w:pPr>
    </w:p>
    <w:p>
      <w:pPr>
        <w:ind w:left="1260" w:right="899" w:firstLine="360"/>
        <w:spacing w:after="0" w:line="275" w:lineRule="auto"/>
        <w:rPr>
          <w:sz w:val="20"/>
          <w:szCs w:val="20"/>
          <w:color w:val="auto"/>
        </w:rPr>
      </w:pPr>
      <w:r>
        <w:rPr>
          <w:rFonts w:ascii="Times New Roman" w:cs="Times New Roman" w:eastAsia="Times New Roman" w:hAnsi="Times New Roman"/>
          <w:sz w:val="18"/>
          <w:szCs w:val="18"/>
          <w:color w:val="auto"/>
        </w:rPr>
        <w:t xml:space="preserve">The Company calculates its interim income tax provision in accordance with FASB ASC Topics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740,</w:t>
      </w:r>
      <w:r>
        <w:rPr>
          <w:rFonts w:ascii="Times New Roman" w:cs="Times New Roman" w:eastAsia="Times New Roman" w:hAnsi="Times New Roman"/>
          <w:sz w:val="18"/>
          <w:szCs w:val="18"/>
          <w:i w:val="1"/>
          <w:iCs w:val="1"/>
          <w:color w:val="auto"/>
        </w:rPr>
        <w:t xml:space="preserve"> Income Taxes</w:t>
      </w:r>
      <w:r>
        <w:rPr>
          <w:rFonts w:ascii="Times New Roman" w:cs="Times New Roman" w:eastAsia="Times New Roman" w:hAnsi="Times New Roman"/>
          <w:sz w:val="18"/>
          <w:szCs w:val="18"/>
          <w:color w:val="auto"/>
        </w:rPr>
        <w:t>. At the end of each interim period, the Company makes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7" w:name="page288"/>
    <w:bookmarkEnd w:id="28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Income Taxes (Continued)</w:t>
      </w:r>
    </w:p>
    <w:p>
      <w:pPr>
        <w:spacing w:after="0" w:line="229" w:lineRule="exact"/>
        <w:rPr>
          <w:sz w:val="20"/>
          <w:szCs w:val="20"/>
          <w:color w:val="auto"/>
        </w:rPr>
      </w:pPr>
    </w:p>
    <w:p>
      <w:pPr>
        <w:ind w:left="1260" w:right="679"/>
        <w:spacing w:after="0" w:line="254" w:lineRule="auto"/>
        <w:rPr>
          <w:sz w:val="20"/>
          <w:szCs w:val="20"/>
          <w:color w:val="auto"/>
        </w:rPr>
      </w:pPr>
      <w:r>
        <w:rPr>
          <w:rFonts w:ascii="Times New Roman" w:cs="Times New Roman" w:eastAsia="Times New Roman" w:hAnsi="Times New Roman"/>
          <w:sz w:val="18"/>
          <w:szCs w:val="18"/>
          <w:color w:val="auto"/>
        </w:rPr>
        <w:t>of the annual United States domestic and foreign jurisdictions’ expected effective tax rates and applies these rates to its respective year-to-date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United States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327"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the Company recognized an aggregate consolidated income tax expense of $5,119 and $11,440, respectively, for U.S. domestic and foreign income taxes. During the six months ended June 30, 2019 and 2020, the Company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2020, the Company entered into an interest rate swap with a notional amount of $200,000 and a ten-year term to reduce the interest rate risk associated with the Company’s Credit Facility.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For the six months ended June 30, 2020, the Company recorded a loss of $4,174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and total payments recognized in</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related to the swap were $110.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60" w:lineRule="exact"/>
        <w:rPr>
          <w:sz w:val="20"/>
          <w:szCs w:val="20"/>
          <w:color w:val="auto"/>
        </w:rPr>
      </w:pPr>
    </w:p>
    <w:p>
      <w:pPr>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94"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9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The carrying values of the Company’s financial instruments excluding long-term debt approximate their fair value due to the short-term nature of those instruments. Additionally, as of December 31, 2019 and June 30, 2020,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8" w:name="page289"/>
    <w:bookmarkEnd w:id="28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22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58" w:lineRule="exact"/>
        <w:rPr>
          <w:sz w:val="20"/>
          <w:szCs w:val="20"/>
          <w:color w:val="auto"/>
        </w:rPr>
      </w:pPr>
    </w:p>
    <w:p>
      <w:pPr>
        <w:ind w:left="1620" w:right="101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08" w:lineRule="exact"/>
        <w:rPr>
          <w:sz w:val="20"/>
          <w:szCs w:val="20"/>
          <w:color w:val="auto"/>
        </w:rPr>
      </w:pPr>
    </w:p>
    <w:p>
      <w:pPr>
        <w:ind w:left="1620" w:right="11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8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$70,000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gridSpan w:val="2"/>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$70,000</w:t>
            </w:r>
          </w:p>
        </w:tc>
        <w:tc>
          <w:tcPr>
            <w:tcW w:w="16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Borders>
              <w:right w:val="single" w:sz="8" w:color="CCEEFF"/>
            </w:tcBorders>
            <w:gridSpan w:val="2"/>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Borders>
              <w:right w:val="single" w:sz="8" w:color="CCEEFF"/>
            </w:tcBorders>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6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$6,599</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83"/>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$ 2,544</w:t>
            </w: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Borders>
              <w:top w:val="single" w:sz="8" w:color="CCEEFF"/>
              <w:bottom w:val="single" w:sz="8" w:color="CCEEFF"/>
              <w:right w:val="single" w:sz="8" w:color="CCEEFF"/>
            </w:tcBorders>
            <w:gridSpan w:val="2"/>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6,599</w:t>
            </w:r>
          </w:p>
        </w:tc>
        <w:tc>
          <w:tcPr>
            <w:tcW w:w="2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60" w:type="dxa"/>
            <w:vAlign w:val="bottom"/>
          </w:tcPr>
          <w:p>
            <w:pPr>
              <w:spacing w:after="0"/>
              <w:rPr>
                <w:sz w:val="24"/>
                <w:szCs w:val="24"/>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Pr>
          <w:p>
            <w:pPr>
              <w:spacing w:after="0"/>
              <w:rPr>
                <w:sz w:val="24"/>
                <w:szCs w:val="24"/>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50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2"/>
                <w:szCs w:val="22"/>
                <w:color w:val="auto"/>
              </w:rPr>
            </w:pPr>
          </w:p>
        </w:tc>
        <w:tc>
          <w:tcPr>
            <w:tcW w:w="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Borders>
              <w:right w:val="single" w:sz="8" w:color="CCEEFF"/>
            </w:tcBorders>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$5,761</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70"/>
        </w:trPr>
        <w:tc>
          <w:tcPr>
            <w:tcW w:w="5440" w:type="dxa"/>
            <w:vAlign w:val="bottom"/>
            <w:gridSpan w:val="4"/>
          </w:tcPr>
          <w:p>
            <w:pPr>
              <w:ind w:left="18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6"/>
                <w:szCs w:val="26"/>
                <w:color w:val="auto"/>
                <w:vertAlign w:val="superscript"/>
              </w:rPr>
              <w:t>(4)</w:t>
            </w:r>
          </w:p>
        </w:tc>
        <w:tc>
          <w:tcPr>
            <w:tcW w:w="8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4,174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83"/>
        </w:trPr>
        <w:tc>
          <w:tcPr>
            <w:tcW w:w="5200" w:type="dxa"/>
            <w:vAlign w:val="bottom"/>
            <w:gridSpan w:val="3"/>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(3)</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2,250</w:t>
            </w: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6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$2,250</w:t>
            </w:r>
          </w:p>
        </w:tc>
        <w:tc>
          <w:tcPr>
            <w:tcW w:w="80" w:type="dxa"/>
            <w:vAlign w:val="bottom"/>
          </w:tcPr>
          <w:p>
            <w:pPr>
              <w:spacing w:after="0"/>
              <w:rPr>
                <w:sz w:val="22"/>
                <w:szCs w:val="22"/>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4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$5,761</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12,185</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-2013585</wp:posOffset>
            </wp:positionV>
            <wp:extent cx="14541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-2013585</wp:posOffset>
            </wp:positionV>
            <wp:extent cx="437197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-2708275</wp:posOffset>
            </wp:positionV>
            <wp:extent cx="14541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-2708275</wp:posOffset>
            </wp:positionV>
            <wp:extent cx="43719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-3059430</wp:posOffset>
            </wp:positionV>
            <wp:extent cx="13716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-3059430</wp:posOffset>
            </wp:positionV>
            <wp:extent cx="1371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-3059430</wp:posOffset>
            </wp:positionV>
            <wp:extent cx="13716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-3059430</wp:posOffset>
            </wp:positionV>
            <wp:extent cx="137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-1156335</wp:posOffset>
            </wp:positionV>
            <wp:extent cx="4834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-1508125</wp:posOffset>
            </wp:positionV>
            <wp:extent cx="13716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-1508125</wp:posOffset>
            </wp:positionV>
            <wp:extent cx="1371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-1508125</wp:posOffset>
            </wp:positionV>
            <wp:extent cx="13716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-1508125</wp:posOffset>
            </wp:positionV>
            <wp:extent cx="1371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2" w:lineRule="exact"/>
        <w:rPr>
          <w:sz w:val="20"/>
          <w:szCs w:val="20"/>
          <w:color w:val="auto"/>
        </w:rPr>
      </w:pPr>
    </w:p>
    <w:p>
      <w:pPr>
        <w:ind w:left="1620" w:hanging="358"/>
        <w:spacing w:after="0"/>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90"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61" w:lineRule="exact"/>
        <w:rPr>
          <w:rFonts w:ascii="Times New Roman" w:cs="Times New Roman" w:eastAsia="Times New Roman" w:hAnsi="Times New Roman"/>
          <w:sz w:val="18"/>
          <w:szCs w:val="18"/>
          <w:color w:val="auto"/>
        </w:rPr>
      </w:pPr>
    </w:p>
    <w:p>
      <w:pPr>
        <w:ind w:left="1620" w:right="679" w:hanging="358"/>
        <w:spacing w:after="0" w:line="267" w:lineRule="auto"/>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$153 and $99 as of December 31, 2019 and June 30, 2020,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5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9" w:name="page290"/>
    <w:bookmarkEnd w:id="28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229"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 ended December 31, 2019 and the six months ended June 30, 2020.</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6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60" w:type="dxa"/>
            <w:vAlign w:val="bottom"/>
            <w:gridSpan w:val="4"/>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Ended June 30,</w:t>
            </w:r>
          </w:p>
        </w:tc>
      </w:tr>
      <w:tr>
        <w:trPr>
          <w:trHeight w:val="190"/>
        </w:trPr>
        <w:tc>
          <w:tcPr>
            <w:tcW w:w="6200" w:type="dxa"/>
            <w:vAlign w:val="bottom"/>
          </w:tcPr>
          <w:p>
            <w:pPr>
              <w:spacing w:after="0"/>
              <w:rPr>
                <w:sz w:val="16"/>
                <w:szCs w:val="16"/>
                <w:color w:val="auto"/>
              </w:rPr>
            </w:pPr>
          </w:p>
        </w:tc>
        <w:tc>
          <w:tcPr>
            <w:tcW w:w="70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6"/>
                <w:szCs w:val="16"/>
                <w:color w:val="auto"/>
              </w:rPr>
            </w:pPr>
          </w:p>
        </w:tc>
        <w:tc>
          <w:tcPr>
            <w:tcW w:w="96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6"/>
                <w:szCs w:val="16"/>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$ 6,599</w:t>
            </w:r>
          </w:p>
        </w:tc>
        <w:tc>
          <w:tcPr>
            <w:tcW w:w="200" w:type="dxa"/>
            <w:vAlign w:val="bottom"/>
            <w:shd w:val="clear" w:color="auto" w:fill="CCEEFF"/>
          </w:tcPr>
          <w:p>
            <w:pPr>
              <w:spacing w:after="0"/>
              <w:rPr>
                <w:sz w:val="21"/>
                <w:szCs w:val="2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(1,091)</w:t>
            </w:r>
          </w:p>
        </w:tc>
      </w:tr>
      <w:tr>
        <w:trPr>
          <w:trHeight w:val="25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shd w:val="clear" w:color="auto" w:fill="CCEEFF"/>
          </w:tcPr>
          <w:p>
            <w:pPr>
              <w:spacing w:after="0"/>
              <w:rPr>
                <w:sz w:val="22"/>
                <w:szCs w:val="22"/>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w:t>
            </w:r>
          </w:p>
        </w:tc>
      </w:tr>
      <w:tr>
        <w:trPr>
          <w:trHeight w:val="26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$ 6,599</w:t>
            </w:r>
          </w:p>
        </w:tc>
        <w:tc>
          <w:tcPr>
            <w:tcW w:w="1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$ 5,761</w:t>
            </w:r>
          </w:p>
        </w:tc>
        <w:tc>
          <w:tcPr>
            <w:tcW w:w="200" w:type="dxa"/>
            <w:vAlign w:val="bottom"/>
            <w:shd w:val="clear" w:color="auto" w:fill="CCEEFF"/>
          </w:tcPr>
          <w:p>
            <w:pPr>
              <w:spacing w:after="0"/>
              <w:rPr>
                <w:sz w:val="22"/>
                <w:szCs w:val="22"/>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-1199515</wp:posOffset>
            </wp:positionV>
            <wp:extent cx="461200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58" w:lineRule="exact"/>
        <w:rPr>
          <w:sz w:val="20"/>
          <w:szCs w:val="20"/>
          <w:color w:val="auto"/>
        </w:rPr>
      </w:pPr>
    </w:p>
    <w:p>
      <w:pPr>
        <w:ind w:left="1260" w:right="9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 </w:t>
      </w:r>
      <w:r>
        <w:rPr>
          <w:rFonts w:ascii="Times New Roman" w:cs="Times New Roman" w:eastAsia="Times New Roman" w:hAnsi="Times New Roman"/>
          <w:sz w:val="18"/>
          <w:szCs w:val="18"/>
          <w:color w:val="auto"/>
        </w:rPr>
        <w:t>In the normal course of business, the Company enters into various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for goods and services. As of June 30, 2020, the non-cancelable future cash purchase commitment for services related to the provisioning of the Company’s software solutions was $93,400 through May 2023. The Company expects to fully consume its contractual commitment in the ordinary course of operations.</w:t>
      </w:r>
    </w:p>
    <w:p>
      <w:pPr>
        <w:spacing w:after="0" w:line="100"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 leases certain facilities, cars, and equipment under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initial or remaining non-cancellable terms in excess of one year. For details, see Note 8.</w:t>
      </w:r>
    </w:p>
    <w:p>
      <w:pPr>
        <w:spacing w:after="0" w:line="86"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From time to time, the Company is involved in certain legal actions arising in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course of business. In management’s opinion, based upon the advice of counsel, the outcome of such actions is not expected to have a material adverse effect on the Company’s future financial position or results of operations.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16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Note 6, and Note 8 for further detail around these assets.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1940" w:type="dxa"/>
            <w:vAlign w:val="bottom"/>
            <w:gridSpan w:val="2"/>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72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56,345</w:t>
            </w:r>
          </w:p>
        </w:tc>
      </w:tr>
      <w:tr>
        <w:trPr>
          <w:trHeight w:val="256"/>
        </w:trPr>
        <w:tc>
          <w:tcPr>
            <w:tcW w:w="360" w:type="dxa"/>
            <w:vAlign w:val="bottom"/>
          </w:tcPr>
          <w:p>
            <w:pPr>
              <w:spacing w:after="0"/>
              <w:rPr>
                <w:sz w:val="22"/>
                <w:szCs w:val="22"/>
                <w:color w:val="auto"/>
              </w:rPr>
            </w:pPr>
          </w:p>
        </w:tc>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r>
      <w:tr>
        <w:trPr>
          <w:trHeight w:val="263"/>
        </w:trPr>
        <w:tc>
          <w:tcPr>
            <w:tcW w:w="360" w:type="dxa"/>
            <w:vAlign w:val="bottom"/>
          </w:tcPr>
          <w:p>
            <w:pPr>
              <w:spacing w:after="0"/>
              <w:rPr>
                <w:sz w:val="22"/>
                <w:szCs w:val="22"/>
                <w:color w:val="auto"/>
              </w:rPr>
            </w:pPr>
          </w:p>
        </w:tc>
        <w:tc>
          <w:tcPr>
            <w:tcW w:w="57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w:t>
            </w:r>
          </w:p>
        </w:tc>
      </w:tr>
      <w:tr>
        <w:trPr>
          <w:trHeight w:val="264"/>
        </w:trPr>
        <w:tc>
          <w:tcPr>
            <w:tcW w:w="360" w:type="dxa"/>
            <w:vAlign w:val="bottom"/>
          </w:tcPr>
          <w:p>
            <w:pPr>
              <w:spacing w:after="0"/>
              <w:rPr>
                <w:sz w:val="22"/>
                <w:szCs w:val="22"/>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128,445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0339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9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Americas includes the United States, Canada, and Latin America (including the Caribbean).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0" w:name="page291"/>
    <w:bookmarkEnd w:id="29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9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$(2,846)</w:t>
            </w:r>
          </w:p>
        </w:tc>
        <w:tc>
          <w:tcPr>
            <w:tcW w:w="60" w:type="dxa"/>
            <w:vAlign w:val="bottom"/>
          </w:tcPr>
          <w:p>
            <w:pPr>
              <w:spacing w:after="0"/>
              <w:rPr>
                <w:sz w:val="21"/>
                <w:szCs w:val="21"/>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22"/>
                <w:szCs w:val="22"/>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$(2,516)</w:t>
            </w:r>
          </w:p>
        </w:tc>
        <w:tc>
          <w:tcPr>
            <w:tcW w:w="60" w:type="dxa"/>
            <w:vAlign w:val="bottom"/>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p>
      <w:pPr>
        <w:spacing w:after="0" w:line="17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Foreign exchange loss</w:t>
            </w:r>
            <w:r>
              <w:rPr>
                <w:rFonts w:ascii="Times New Roman" w:cs="Times New Roman" w:eastAsia="Times New Roman" w:hAnsi="Times New Roman"/>
                <w:sz w:val="26"/>
                <w:szCs w:val="26"/>
                <w:color w:val="auto"/>
                <w:vertAlign w:val="superscript"/>
              </w:rPr>
              <w:t>(1)</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$(1,588)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$(4,263)</w:t>
            </w:r>
          </w:p>
        </w:tc>
        <w:tc>
          <w:tcPr>
            <w:tcW w:w="60" w:type="dxa"/>
            <w:vAlign w:val="bottom"/>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6120" w:type="dxa"/>
            <w:vAlign w:val="bottom"/>
            <w:gridSpan w:val="2"/>
          </w:tcPr>
          <w:p>
            <w:pPr>
              <w:spacing w:after="0" w:line="283"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5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$(1,747)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$(6,985)</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-633730</wp:posOffset>
            </wp:positionV>
            <wp:extent cx="438023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97" w:lineRule="exact"/>
        <w:rPr>
          <w:sz w:val="20"/>
          <w:szCs w:val="20"/>
          <w:color w:val="auto"/>
        </w:rPr>
      </w:pPr>
    </w:p>
    <w:p>
      <w:pPr>
        <w:ind w:left="1620" w:right="759" w:hanging="358"/>
        <w:spacing w:after="0" w:line="258"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six months ended June 30, 2019 and 2020, intercompany finance transactions denominated in U.S. dollars resulted in unrealized foreign currency translation losses of $1,680 and $1,765, respectively.</w:t>
      </w:r>
    </w:p>
    <w:p>
      <w:pPr>
        <w:spacing w:after="0" w:line="34" w:lineRule="exact"/>
        <w:rPr>
          <w:rFonts w:ascii="Times New Roman" w:cs="Times New Roman" w:eastAsia="Times New Roman" w:hAnsi="Times New Roman"/>
          <w:sz w:val="18"/>
          <w:szCs w:val="18"/>
          <w:color w:val="auto"/>
        </w:rPr>
      </w:pPr>
    </w:p>
    <w:p>
      <w:pPr>
        <w:ind w:left="1620" w:right="999" w:hanging="358"/>
        <w:spacing w:after="0" w:line="266"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includes a loss from the change in fair value of the Company’s interest rate swap of $4,174, partly offset by a gain from the change in fair value of acquisition contingent consideration of $1,390 for the six months ended June 30, 2020 (see Note 17).</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 For the six months ended June 30, 2020, there were no participating securities outstanding.</w:t>
      </w:r>
    </w:p>
    <w:p>
      <w:pPr>
        <w:spacing w:after="0" w:line="117" w:lineRule="exact"/>
        <w:rPr>
          <w:sz w:val="20"/>
          <w:szCs w:val="20"/>
          <w:color w:val="auto"/>
        </w:rPr>
      </w:pPr>
    </w:p>
    <w:p>
      <w:pPr>
        <w:ind w:left="1260" w:right="1119" w:firstLine="360"/>
        <w:spacing w:after="0" w:line="245" w:lineRule="auto"/>
        <w:rPr>
          <w:sz w:val="20"/>
          <w:szCs w:val="20"/>
          <w:color w:val="auto"/>
        </w:rPr>
      </w:pPr>
      <w:r>
        <w:rPr>
          <w:rFonts w:ascii="Times New Roman" w:cs="Times New Roman" w:eastAsia="Times New Roman" w:hAnsi="Times New Roman"/>
          <w:sz w:val="18"/>
          <w:szCs w:val="18"/>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113"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the resulting net income attributable to common stockholders by the weighted-average number of fully diluted common shares outstanding.</w:t>
      </w:r>
    </w:p>
    <w:p>
      <w:pPr>
        <w:spacing w:after="0" w:line="10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1" w:name="page292"/>
    <w:bookmarkEnd w:id="29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229" w:lineRule="exact"/>
        <w:rPr>
          <w:sz w:val="20"/>
          <w:szCs w:val="20"/>
          <w:color w:val="auto"/>
        </w:rPr>
      </w:pPr>
    </w:p>
    <w:p>
      <w:pPr>
        <w:ind w:left="1260" w:right="819"/>
        <w:spacing w:after="0" w:line="275" w:lineRule="auto"/>
        <w:rPr>
          <w:sz w:val="20"/>
          <w:szCs w:val="20"/>
          <w:color w:val="auto"/>
        </w:rPr>
      </w:pPr>
      <w:r>
        <w:rPr>
          <w:rFonts w:ascii="Times New Roman" w:cs="Times New Roman" w:eastAsia="Times New Roman" w:hAnsi="Times New Roman"/>
          <w:sz w:val="18"/>
          <w:szCs w:val="18"/>
          <w:color w:val="auto"/>
        </w:rPr>
        <w:t>rights to dividends and allocation of income (loss) and therefore, earnings per share would not differ under the two-class method. The details of basic and diluted EPS are as follows (in thousands, except per share amounts):</w:t>
      </w: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67"/>
        </w:trPr>
        <w:tc>
          <w:tcPr>
            <w:tcW w:w="502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net income per share — weighted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shares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8,103,779</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9,526,468</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vMerge w:val="continue"/>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-599440</wp:posOffset>
            </wp:positionV>
            <wp:extent cx="411480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-2219325</wp:posOffset>
            </wp:positionV>
            <wp:extent cx="410591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six months ended June 30, 2020, the Company evaluated subsequent events for recognition and measurement through August 7, 2020, the date when the consolidated financial statements were issued.</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On July 10, 2020 and July 21, 2020, the Company granted a total of 179,188 shares of restricted stock and restricted stock units and 6,136 shares of restricted stock, respectively, under the Company’s Equity Incentive Plan, at a grant date fair value of $15.48 per share, all of which are subject to performance-based vesting as determined by the achievement of certain business growth targets which include growth in annual recurring revenues as well as actual bookings for perpetual licenses and non-recurring services. Annual performance targets are seasonalized and targets are set for quarterly and annual performance periods ending on December 31, 2020. These performance-based restricted shares and units carry dividend, but not voting rights. During the year ending December 31, 2020, the Company estimates it will recognize stock-based compensation expense associated with these awards ranging from $1,721 up to $2,869, with the upper end of the range assuming all performance conditions are achieved in 2020.</w:t>
      </w:r>
    </w:p>
    <w:p>
      <w:pPr>
        <w:spacing w:after="0" w:line="11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On July 10, 2020, the Company granted a total of 189,188 shares of restricted stock and restricted stock units under the Equity Incentive Plan at a grant date fair value of $15.48 per share, of which 179,188 vest ratably on each of the first four anniversaries of the grant date and 10,000 vest ratably beginning on July 13, 2021 and on the three subsequent anniversaries of that date. These restricted shares and units do not have voting rights and any dividends declared accrue on such shares and are paid only upon vesting. The Company estimates the unrecognized stock-based compensation expense associated with these awards to be $2,929, which is expected to be recognized over the four-year vesting period.</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2" w:name="page293"/>
    <w:bookmarkEnd w:id="29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 (Continued)</w:t>
      </w:r>
    </w:p>
    <w:p>
      <w:pPr>
        <w:spacing w:after="0" w:line="229"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On July 10, 2020, the Company granted a total of 994,912 shares of restricted stock and restricted stock units, including 32,238 restricted stock units that will be settled in cash, under the Equity Incentive Plan at a grant date fair value of $15.48 per share, which vest upon the earlier of the Company’s successful completion of its initial public offering or December 31, 2020. These restricted shares and units do not have voting or dividend rights, except in the case of any extraordinary dividend (as described in the Equity Incentive Plan) declared by the Company, if any, which would accrue on such shares and be paid only upon vesting. During the year ending December 31, 2020, the Company estimates it will recognize $14,902 of stock-based compensation expense for the equity-settled awards and compensation expense for the cash-settled awards in an amount equal to the Company’s initial public offering price multiplied by the number of cash-settled awards outstanding at the time of the initial public offering. This latter expense is not readily determinable as of the date hereof.</w:t>
      </w:r>
    </w:p>
    <w:p>
      <w:pPr>
        <w:spacing w:after="0" w:line="329"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On July 21, 2020, the Company granted a total of 1,020,472 shares of restricted stock and restricted stock units including 46,300 restricted stock units that will be settled in cash, under the Equity Incentive Plan at a grant date fair value of $15.48 per share, which vest ratably on each of the first four anniversaries of the grant date. These restricted shares and units do not have voting rights and any dividends declared accrue on such shares and are paid only upon vesting. The Company estimates the unrecognized stock-based compensation expense associated with the equity-settled awards to be $15,080, which is expected to be recognized over the four-year vesting period. The Company is not able to estimate the compensation expense associated with the cash-settled awards, which will be recognized in an amount equal to the number of cash-settled awards outstanding at vesting multiplied by the applicable fair market value of the Company’s shares at the time of vesting.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Event Subsequent to Issuance of the Consolidated Financial Statements</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On September 2, 2020, the Company entered into the First Amendment to the Credit Facility. The First Amendment provided a New Term Loan of $125,000 with a maturity of December 18, 2022 and included certain other amendments, including the addition of a mandatory prepayment provision requiring the Company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 The Company used borrowings under the New Term Loan and under the revolving facility under the Credit Facility to pay the Special Dividend of $1.50 per share of common stock (approximately $390,000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3" w:name="page294"/>
    <w:bookmarkEnd w:id="29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2331720</wp:posOffset>
            </wp:positionV>
            <wp:extent cx="3385820" cy="7372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385820" cy="7372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316865</wp:posOffset>
            </wp:positionV>
            <wp:extent cx="5212080" cy="260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377190</wp:posOffset>
            </wp:positionV>
            <wp:extent cx="521208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7"/>
          <w:szCs w:val="2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BofA Securities</w:t>
      </w:r>
    </w:p>
    <w:p>
      <w:pPr>
        <w:spacing w:after="0" w:line="200" w:lineRule="exact"/>
        <w:rPr>
          <w:sz w:val="20"/>
          <w:szCs w:val="20"/>
          <w:color w:val="auto"/>
        </w:rPr>
      </w:pPr>
    </w:p>
    <w:p>
      <w:pPr>
        <w:sectPr>
          <w:pgSz w:w="11900" w:h="16838" w:orient="portrait"/>
          <w:cols w:equalWidth="0" w:num="2">
            <w:col w:w="6920" w:space="720"/>
            <w:col w:w="2499"/>
          </w:cols>
          <w:pgMar w:left="320" w:top="114" w:right="1440" w:bottom="1440" w:gutter="0" w:footer="0" w:header="0"/>
          <w:type w:val="continuous"/>
        </w:sectPr>
      </w:pPr>
    </w:p>
    <w:p>
      <w:pPr>
        <w:spacing w:after="0" w:line="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4"/>
          <w:szCs w:val="24"/>
          <w:b w:val="1"/>
          <w:bCs w:val="1"/>
          <w:color w:val="auto"/>
        </w:rPr>
        <w:t>RBC Capital Markets</w:t>
      </w:r>
    </w:p>
    <w:p>
      <w:pPr>
        <w:sectPr>
          <w:pgSz w:w="11900" w:h="16838" w:orient="portrait"/>
          <w:cols w:equalWidth="0" w:num="1">
            <w:col w:w="10139"/>
          </w:cols>
          <w:pgMar w:left="320" w:top="114" w:right="1440" w:bottom="1440" w:gutter="0" w:footer="0" w:header="0"/>
          <w:type w:val="continuous"/>
        </w:sect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Baird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Mizuho Securities</w:t>
      </w:r>
    </w:p>
    <w:p>
      <w:pPr>
        <w:spacing w:after="0" w:line="223" w:lineRule="exact"/>
        <w:rPr>
          <w:sz w:val="20"/>
          <w:szCs w:val="20"/>
          <w:color w:val="auto"/>
        </w:rPr>
      </w:pPr>
    </w:p>
    <w:p>
      <w:pPr>
        <w:sectPr>
          <w:pgSz w:w="11900" w:h="16838" w:orient="portrait"/>
          <w:cols w:equalWidth="0" w:num="3">
            <w:col w:w="3440" w:space="720"/>
            <w:col w:w="3000" w:space="720"/>
            <w:col w:w="225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7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2020 (the 25th day after the date of this prospectus), all dealers effecting transactions in these securities, whether or not participating in the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109220</wp:posOffset>
            </wp:positionV>
            <wp:extent cx="521208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151765</wp:posOffset>
            </wp:positionV>
            <wp:extent cx="5212080" cy="260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680656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4" w:name="page295"/>
    <w:bookmarkEnd w:id="29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Company in connection with this registration statement and the issuance and sale of our Class B common stock being registered hereby (other than underwriting discounts and commissions). All amounts shown are estimates except for the SEC registration fee, the FINRA filing fee, and The Nasdaq Global Select Market initial listing fee:</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to be Paid</w:t>
            </w:r>
          </w:p>
        </w:tc>
      </w:tr>
      <w:tr>
        <w:trPr>
          <w:trHeight w:val="23"/>
        </w:trPr>
        <w:tc>
          <w:tcPr>
            <w:tcW w:w="6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w:t>
            </w: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Select Market initial listing fee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r>
      <w:tr>
        <w:trPr>
          <w:trHeight w:val="25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3,300,000</w:t>
            </w: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1,950,000</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63"/>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6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6,083,131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22592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-1525270</wp:posOffset>
            </wp:positionV>
            <wp:extent cx="421767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Section 102 of the Delaware law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Shortly following the effectiveness of this registration statement, we expect to adopt an amended and restated certificate of incorporation which will contain a provision that eliminates directors’ personal liability as set forth above.</w:t>
      </w:r>
    </w:p>
    <w:p>
      <w:pPr>
        <w:spacing w:after="0" w:line="10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addition, shortly following the effectiveness of this registration statement, we expect to adopt amended and restated by-laws, which will provide that we shall indemnify our directors and the officers designated by our board of directors to the extent permitted by the Delaware law. Section 145 of the Delaware law provides that a Delaware corporation has the power to indemnify its directors, officers, employees and agents in certain circumstances. Subsection (a) of Section 145 of the Delaware law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93"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Subsection (b) of Section 145 of the Delaware law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5" w:name="page296"/>
    <w:bookmarkEnd w:id="29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02"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Section 145 further provides that to the extent that a director or officer or employee of a corporation has been successful in the defense of any action, suit or proceeding referred to in subsections (a) and (b)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 (b) of Section 145 is proper because the director, officer, employee or agent has met the applicable standard of conduct under such subsections shall be made by (1) a majority vote of the directors who are not parties to such action, suit or proceeding, even though less than a quorum, or (2) if there are no such directors, or if such directors so direct, by independent legal counsel in a written opinion, or (3) by the stockholders.</w:t>
      </w:r>
    </w:p>
    <w:p>
      <w:pPr>
        <w:spacing w:after="0" w:line="346"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will have in effect insurance policies for general officers’ and directors’ liability insurance covering all of our officers and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Since January 1, 2017, the registrant has sold the following unregistered securities. All amounts set forth below have been adjusted to give effect to a May 1, 2018 stock dividend that had the economic effect of a two-for-one stock split.</w:t>
      </w:r>
    </w:p>
    <w:p>
      <w:pPr>
        <w:spacing w:after="0" w:line="95" w:lineRule="exact"/>
        <w:rPr>
          <w:sz w:val="20"/>
          <w:szCs w:val="20"/>
          <w:color w:val="auto"/>
        </w:rPr>
      </w:pPr>
    </w:p>
    <w:p>
      <w:pPr>
        <w:ind w:left="1980" w:hanging="358"/>
        <w:spacing w:after="0"/>
        <w:tabs>
          <w:tab w:leader="none" w:pos="1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Grants and Exercises</w:t>
      </w:r>
    </w:p>
    <w:p>
      <w:pPr>
        <w:spacing w:after="0" w:line="130"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granted options to purchase 4,541,902 shares of Class B common stock to certain of its colleagues and directors under the 2015 Equity Incentive Plan at an exercise price of $5.38 per share;</w:t>
      </w:r>
    </w:p>
    <w:p>
      <w:pPr>
        <w:spacing w:after="0" w:line="67"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granted options to purchase 5,126,000 shares of Class B common stock to certain of its colleagues and directors under the 2015 Equity Incentive Plan at an exercise price of $6.805 per share;</w:t>
      </w:r>
    </w:p>
    <w:p>
      <w:pPr>
        <w:spacing w:after="0" w:line="67"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granted options to purchase 4,826,000 shares of Class B common stock to certain of its colleagues and directors under the 2015 Equity Incentive Plan at an exercise price of $7.24 per share; and</w:t>
      </w:r>
    </w:p>
    <w:p>
      <w:pPr>
        <w:spacing w:after="0" w:line="67" w:lineRule="exact"/>
        <w:rPr>
          <w:rFonts w:ascii="Times New Roman" w:cs="Times New Roman" w:eastAsia="Times New Roman" w:hAnsi="Times New Roman"/>
          <w:sz w:val="18"/>
          <w:szCs w:val="18"/>
          <w:color w:val="auto"/>
        </w:rPr>
      </w:pPr>
    </w:p>
    <w:p>
      <w:pPr>
        <w:ind w:left="2160" w:right="79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granted options to purchase 10,000 shares of Class B common stock to certain of its colleagues and directors under the 2015 Equity Incentive Plan at an exercise price of $10.84 per share.</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2,855,792 shares of Class B common stock at per share purchase prices ranging from $0.0488 to $5.23 pursuant to exercises of options granted under various employee stock option plans;</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2,824,574 shares of Class B common stock at per share purchase prices ranging from $0.3088 to $5.38 pursuant to exercises of options granted under various employee stock option plans;</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3,439,131 shares of Class B common stock at per share purchase prices ranging from $1.785 to $6.805 pursuant to exercises of options granted under various employee stock option plans;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6" w:name="page297"/>
    <w:bookmarkEnd w:id="29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60" w:right="85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to colleagues 2,184,628 shares of Class B common stock at per share purchase prices ranging from $3.495 to $7.24 pursuant to exercises of options granted under the 2015 Equity Incentive Plan.</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w:t>
      </w:r>
    </w:p>
    <w:p>
      <w:pPr>
        <w:spacing w:after="0" w:line="117" w:lineRule="exact"/>
        <w:rPr>
          <w:rFonts w:ascii="Times New Roman" w:cs="Times New Roman" w:eastAsia="Times New Roman" w:hAnsi="Times New Roman"/>
          <w:sz w:val="18"/>
          <w:szCs w:val="18"/>
          <w:color w:val="auto"/>
        </w:rPr>
      </w:pPr>
    </w:p>
    <w:p>
      <w:pPr>
        <w:jc w:val="both"/>
        <w:ind w:left="2160" w:right="99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granted to colleagues 109,240 fully-vested shares of Class B common stock pursuant to the 2015 Equity Incentive Plan at par value, 100,730 shares of which were ultimately issued net of tax withholding; and</w:t>
      </w:r>
    </w:p>
    <w:p>
      <w:pPr>
        <w:spacing w:after="0" w:line="54" w:lineRule="exact"/>
        <w:rPr>
          <w:rFonts w:ascii="Times New Roman" w:cs="Times New Roman" w:eastAsia="Times New Roman" w:hAnsi="Times New Roman"/>
          <w:sz w:val="18"/>
          <w:szCs w:val="18"/>
          <w:color w:val="auto"/>
        </w:rPr>
      </w:pPr>
    </w:p>
    <w:p>
      <w:pPr>
        <w:ind w:left="2160" w:right="157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17,411 fully-vested shares of Class B common stock to independent directors as compensation for board service.</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(“RSU”) Grants and Vesting</w:t>
      </w:r>
    </w:p>
    <w:p>
      <w:pPr>
        <w:spacing w:after="0" w:line="117"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43,240 shares of Class B common stock at par value pursuant to vested RSUs under the 2015 Equity Incentive Plan; and</w:t>
      </w:r>
    </w:p>
    <w:p>
      <w:pPr>
        <w:spacing w:after="0" w:line="40"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11,348 shares of Class B common stock at par value pursuant to vested RSUs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23,592 shares of Class B common stock at par value pursuant to vested RSUs under the 2015 Equity Incentive Plan.</w:t>
      </w:r>
    </w:p>
    <w:p>
      <w:pPr>
        <w:spacing w:after="0" w:line="8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Grants and Vesting</w:t>
      </w:r>
    </w:p>
    <w:p>
      <w:pPr>
        <w:spacing w:after="0" w:line="117"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240,672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570,286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493,840 shares of restricted Class B common stock to colleagues under the 2015 Equity Incentive Plan;</w:t>
      </w:r>
    </w:p>
    <w:p>
      <w:pPr>
        <w:spacing w:after="0" w:line="40" w:lineRule="exact"/>
        <w:rPr>
          <w:rFonts w:ascii="Times New Roman" w:cs="Times New Roman" w:eastAsia="Times New Roman" w:hAnsi="Times New Roman"/>
          <w:sz w:val="18"/>
          <w:szCs w:val="18"/>
          <w:color w:val="auto"/>
        </w:rPr>
      </w:pPr>
    </w:p>
    <w:p>
      <w:pPr>
        <w:ind w:left="2160" w:right="69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2,389,896 shares of restricted Class B common stock to colleagues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79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12,454 shares of restricted Class B common stock to independent directors as compensation for board service.</w:t>
      </w:r>
    </w:p>
    <w:p>
      <w:pPr>
        <w:spacing w:after="0" w:line="53" w:lineRule="exact"/>
        <w:rPr>
          <w:rFonts w:ascii="Times New Roman" w:cs="Times New Roman" w:eastAsia="Times New Roman" w:hAnsi="Times New Roman"/>
          <w:sz w:val="18"/>
          <w:szCs w:val="18"/>
          <w:color w:val="auto"/>
        </w:rPr>
      </w:pPr>
    </w:p>
    <w:p>
      <w:pPr>
        <w:ind w:left="2160" w:right="75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85,912 shares of Class B common stock at par value pursuant to vested restricted stock awards under the 2015 Equity Incentive Plan;</w:t>
      </w:r>
    </w:p>
    <w:p>
      <w:pPr>
        <w:spacing w:after="0" w:line="40" w:lineRule="exact"/>
        <w:rPr>
          <w:rFonts w:ascii="Times New Roman" w:cs="Times New Roman" w:eastAsia="Times New Roman" w:hAnsi="Times New Roman"/>
          <w:sz w:val="18"/>
          <w:szCs w:val="18"/>
          <w:color w:val="auto"/>
        </w:rPr>
      </w:pPr>
    </w:p>
    <w:p>
      <w:pPr>
        <w:ind w:left="2160" w:right="111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296,013 shares of Class B common stock at par value pursuant to vested restricted stock awards under the 2015 Equity Incentive Plan;</w:t>
      </w:r>
    </w:p>
    <w:p>
      <w:pPr>
        <w:spacing w:after="0" w:line="53" w:lineRule="exact"/>
        <w:rPr>
          <w:rFonts w:ascii="Times New Roman" w:cs="Times New Roman" w:eastAsia="Times New Roman" w:hAnsi="Times New Roman"/>
          <w:sz w:val="18"/>
          <w:szCs w:val="18"/>
          <w:color w:val="auto"/>
        </w:rPr>
      </w:pPr>
    </w:p>
    <w:p>
      <w:pPr>
        <w:jc w:val="both"/>
        <w:ind w:left="2160" w:right="111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261,104 shares of Class B common stock at par value pursuant to vested restricted stock awards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75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to colleagues 60,221 shares of Class B common stock at par value pursuant to vested restricted stock awards under the 2015 Equity Incentive Plan.</w:t>
      </w:r>
    </w:p>
    <w:p>
      <w:pPr>
        <w:spacing w:after="0" w:line="8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Deferred Compensation Plan Distributions</w:t>
      </w:r>
    </w:p>
    <w:p>
      <w:pPr>
        <w:spacing w:after="0" w:line="117" w:lineRule="exact"/>
        <w:rPr>
          <w:rFonts w:ascii="Times New Roman" w:cs="Times New Roman" w:eastAsia="Times New Roman" w:hAnsi="Times New Roman"/>
          <w:sz w:val="18"/>
          <w:szCs w:val="18"/>
          <w:color w:val="auto"/>
        </w:rPr>
      </w:pPr>
    </w:p>
    <w:p>
      <w:pPr>
        <w:ind w:left="2160" w:right="71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1,526,494 shares of Class B common stock at par value to colleagues in connection with distributions from the Nonqualified Deferred Compensation Plan;</w:t>
      </w:r>
    </w:p>
    <w:p>
      <w:pPr>
        <w:spacing w:after="0" w:line="53" w:lineRule="exact"/>
        <w:rPr>
          <w:rFonts w:ascii="Times New Roman" w:cs="Times New Roman" w:eastAsia="Times New Roman" w:hAnsi="Times New Roman"/>
          <w:sz w:val="18"/>
          <w:szCs w:val="18"/>
          <w:color w:val="auto"/>
        </w:rPr>
      </w:pPr>
    </w:p>
    <w:p>
      <w:pPr>
        <w:ind w:left="2160" w:right="719" w:hanging="178"/>
        <w:spacing w:after="0" w:line="282"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2,332,585 shares of Class B common stock at par value to colleagues in connection with distributions from the Nonqualified Deferred Compensation Plan;</w:t>
      </w:r>
    </w:p>
    <w:p>
      <w:pPr>
        <w:spacing w:after="0" w:line="40" w:lineRule="exact"/>
        <w:rPr>
          <w:rFonts w:ascii="Times New Roman" w:cs="Times New Roman" w:eastAsia="Times New Roman" w:hAnsi="Times New Roman"/>
          <w:sz w:val="18"/>
          <w:szCs w:val="18"/>
          <w:color w:val="auto"/>
        </w:rPr>
      </w:pPr>
    </w:p>
    <w:p>
      <w:pPr>
        <w:ind w:left="2160" w:right="719" w:hanging="178"/>
        <w:spacing w:after="0" w:line="275"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2,322,983 shares of Class B common stock at par value to colleagues in connection with distributions from the Nonqualified Deferred Compensation Plan; and</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7" w:name="page298"/>
    <w:bookmarkEnd w:id="29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60" w:right="73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2,959,731 shares of Class B common stock at par value to colleagues in connection with distributions from the Nonqualified Deferred Compensation Plan.</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Issuances</w:t>
      </w:r>
    </w:p>
    <w:p>
      <w:pPr>
        <w:spacing w:after="0" w:line="117" w:lineRule="exact"/>
        <w:rPr>
          <w:rFonts w:ascii="Times New Roman" w:cs="Times New Roman" w:eastAsia="Times New Roman" w:hAnsi="Times New Roman"/>
          <w:sz w:val="18"/>
          <w:szCs w:val="18"/>
          <w:color w:val="auto"/>
        </w:rPr>
      </w:pPr>
    </w:p>
    <w:p>
      <w:pPr>
        <w:ind w:left="2160" w:right="699" w:hanging="178"/>
        <w:spacing w:after="0" w:line="261"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and sold an aggregate of 6,035,736 shares of Class B common stock to Siemens Corporation pursuant to the Common Stock Purchase Agreement. 4,336,940 of such shares were sold at a per share price of $5.38, and 1,698,796 of such shares were sold at a per share price of $5.73;</w:t>
      </w:r>
    </w:p>
    <w:p>
      <w:pPr>
        <w:spacing w:after="0" w:line="71" w:lineRule="exact"/>
        <w:rPr>
          <w:rFonts w:ascii="Times New Roman" w:cs="Times New Roman" w:eastAsia="Times New Roman" w:hAnsi="Times New Roman"/>
          <w:sz w:val="18"/>
          <w:szCs w:val="18"/>
          <w:color w:val="auto"/>
        </w:rPr>
      </w:pPr>
    </w:p>
    <w:p>
      <w:pPr>
        <w:ind w:left="2160" w:right="699" w:hanging="178"/>
        <w:spacing w:after="0" w:line="261"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an aggregate of 2,139,466 shares of Class B common stock to Siemens Corporation pursuant to the Common Stock Purchase Agreement. 1,249,067 of such shares were sold at a per share price of $6.805, and 890,399 of such shares were sold at a per share price of $8.67;</w:t>
      </w:r>
    </w:p>
    <w:p>
      <w:pPr>
        <w:spacing w:after="0" w:line="71" w:lineRule="exact"/>
        <w:rPr>
          <w:rFonts w:ascii="Times New Roman" w:cs="Times New Roman" w:eastAsia="Times New Roman" w:hAnsi="Times New Roman"/>
          <w:sz w:val="18"/>
          <w:szCs w:val="18"/>
          <w:color w:val="auto"/>
        </w:rPr>
      </w:pPr>
    </w:p>
    <w:p>
      <w:pPr>
        <w:ind w:left="2160" w:right="95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57,670 restricted shares of Class B common stock to a colleague for a per share price of $8.67;</w:t>
      </w:r>
    </w:p>
    <w:p>
      <w:pPr>
        <w:spacing w:after="0" w:line="53" w:lineRule="exact"/>
        <w:rPr>
          <w:rFonts w:ascii="Times New Roman" w:cs="Times New Roman" w:eastAsia="Times New Roman" w:hAnsi="Times New Roman"/>
          <w:sz w:val="18"/>
          <w:szCs w:val="18"/>
          <w:color w:val="auto"/>
        </w:rPr>
      </w:pPr>
    </w:p>
    <w:p>
      <w:pPr>
        <w:ind w:left="2160" w:right="77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options to acquire a total of 900,000 shares of Class B common stock to five entities in connection with the acquisition of all the outstanding equity interests of a company at an exercise price of $6.805 per share;</w:t>
      </w:r>
    </w:p>
    <w:p>
      <w:pPr>
        <w:spacing w:after="0" w:line="67" w:lineRule="exact"/>
        <w:rPr>
          <w:rFonts w:ascii="Times New Roman" w:cs="Times New Roman" w:eastAsia="Times New Roman" w:hAnsi="Times New Roman"/>
          <w:sz w:val="18"/>
          <w:szCs w:val="18"/>
          <w:color w:val="auto"/>
        </w:rPr>
      </w:pPr>
    </w:p>
    <w:p>
      <w:pPr>
        <w:jc w:val="both"/>
        <w:ind w:left="2160" w:right="71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and sold an aggregate of 622,873 shares of Class B common stock to Siemens Corporation pursuant to the Common Stock Purchase Agreement at a per share price of $7.24; and</w:t>
      </w:r>
    </w:p>
    <w:p>
      <w:pPr>
        <w:spacing w:after="0" w:line="67" w:lineRule="exact"/>
        <w:rPr>
          <w:rFonts w:ascii="Times New Roman" w:cs="Times New Roman" w:eastAsia="Times New Roman" w:hAnsi="Times New Roman"/>
          <w:sz w:val="18"/>
          <w:szCs w:val="18"/>
          <w:color w:val="auto"/>
        </w:rPr>
      </w:pPr>
    </w:p>
    <w:p>
      <w:pPr>
        <w:ind w:left="2160" w:right="69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and sold an aggregate of 3,769,346 shares of Class B common stock to Siemens Corporation pursuant to the Common Stock Purchase Agreement at a per share price of $15.48.</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recipients of the securities in each of these transactions represented their intentions to acquire the securities for investment only and not with a view to or for sale in connection with any distribution thereof, and either received or had adequate access, through employment, business or other relationships, to information about us. The sales of these securities were made without general solicitation or advertising and without the involvement of any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8" w:name="page299"/>
    <w:bookmarkEnd w:id="29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gridSpan w:val="13"/>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r:id="rId953">
              <w:r>
                <w:rPr>
                  <w:rFonts w:ascii="Times New Roman" w:cs="Times New Roman" w:eastAsia="Times New Roman" w:hAnsi="Times New Roman"/>
                  <w:sz w:val="18"/>
                  <w:szCs w:val="18"/>
                  <w:u w:val="single" w:color="auto"/>
                  <w:color w:val="0000EE"/>
                </w:rPr>
                <w:t>1.1**</w:t>
              </w:r>
            </w:hyperlink>
          </w:p>
        </w:tc>
        <w:tc>
          <w:tcPr>
            <w:tcW w:w="200" w:type="dxa"/>
            <w:vAlign w:val="bottom"/>
          </w:tcPr>
          <w:p>
            <w:pPr>
              <w:spacing w:after="0"/>
              <w:rPr>
                <w:sz w:val="21"/>
                <w:szCs w:val="21"/>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3">
              <w:r>
                <w:rPr>
                  <w:rFonts w:ascii="Times New Roman" w:cs="Times New Roman" w:eastAsia="Times New Roman" w:hAnsi="Times New Roman"/>
                  <w:sz w:val="18"/>
                  <w:szCs w:val="18"/>
                  <w:u w:val="single" w:color="auto"/>
                  <w:color w:val="0000EE"/>
                </w:rPr>
                <w:t>Form of Underwriting Agreement</w:t>
              </w:r>
            </w:hyperlink>
          </w:p>
        </w:tc>
      </w:tr>
      <w:tr>
        <w:trPr>
          <w:trHeight w:val="203"/>
        </w:trPr>
        <w:tc>
          <w:tcPr>
            <w:tcW w:w="660" w:type="dxa"/>
            <w:vAlign w:val="bottom"/>
          </w:tcPr>
          <w:p>
            <w:pPr>
              <w:ind w:left="100"/>
              <w:spacing w:after="0" w:line="202" w:lineRule="exact"/>
              <w:rPr>
                <w:rFonts w:ascii="Times New Roman" w:cs="Times New Roman" w:eastAsia="Times New Roman" w:hAnsi="Times New Roman"/>
                <w:sz w:val="18"/>
                <w:szCs w:val="18"/>
                <w:u w:val="single" w:color="auto"/>
                <w:color w:val="0000EE"/>
              </w:rPr>
            </w:pPr>
            <w:hyperlink r:id="rId954">
              <w:r>
                <w:rPr>
                  <w:rFonts w:ascii="Times New Roman" w:cs="Times New Roman" w:eastAsia="Times New Roman" w:hAnsi="Times New Roman"/>
                  <w:sz w:val="18"/>
                  <w:szCs w:val="18"/>
                  <w:u w:val="single" w:color="auto"/>
                  <w:color w:val="0000EE"/>
                </w:rPr>
                <w:t>3.1**</w:t>
              </w:r>
            </w:hyperlink>
          </w:p>
        </w:tc>
        <w:tc>
          <w:tcPr>
            <w:tcW w:w="200" w:type="dxa"/>
            <w:vAlign w:val="bottom"/>
          </w:tcPr>
          <w:p>
            <w:pPr>
              <w:spacing w:after="0"/>
              <w:rPr>
                <w:sz w:val="17"/>
                <w:szCs w:val="17"/>
                <w:color w:val="auto"/>
              </w:rPr>
            </w:pPr>
          </w:p>
        </w:tc>
        <w:tc>
          <w:tcPr>
            <w:tcW w:w="7360" w:type="dxa"/>
            <w:vAlign w:val="bottom"/>
            <w:gridSpan w:val="17"/>
          </w:tcPr>
          <w:p>
            <w:pPr>
              <w:spacing w:after="0" w:line="202" w:lineRule="exact"/>
              <w:rPr>
                <w:rFonts w:ascii="Times New Roman" w:cs="Times New Roman" w:eastAsia="Times New Roman" w:hAnsi="Times New Roman"/>
                <w:sz w:val="18"/>
                <w:szCs w:val="18"/>
                <w:color w:val="0000EE"/>
              </w:rPr>
            </w:pPr>
            <w:hyperlink r:id="rId954">
              <w:r>
                <w:rPr>
                  <w:rFonts w:ascii="Times New Roman" w:cs="Times New Roman" w:eastAsia="Times New Roman" w:hAnsi="Times New Roman"/>
                  <w:sz w:val="18"/>
                  <w:szCs w:val="18"/>
                  <w:color w:val="0000EE"/>
                </w:rPr>
                <w:t>Form of Amended and Restated Certificate of Incorporation of Bentley Systems, Incorporated, to</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54">
              <w:r>
                <w:rPr>
                  <w:rFonts w:ascii="Times New Roman" w:cs="Times New Roman" w:eastAsia="Times New Roman" w:hAnsi="Times New Roman"/>
                  <w:sz w:val="18"/>
                  <w:szCs w:val="18"/>
                  <w:color w:val="0000EE"/>
                </w:rPr>
                <w:t>be in effect shortly following the effectiveness of the registration statement</w:t>
              </w:r>
            </w:hyperlink>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r:id="rId955">
              <w:r>
                <w:rPr>
                  <w:rFonts w:ascii="Times New Roman" w:cs="Times New Roman" w:eastAsia="Times New Roman" w:hAnsi="Times New Roman"/>
                  <w:sz w:val="18"/>
                  <w:szCs w:val="18"/>
                  <w:u w:val="single" w:color="auto"/>
                  <w:color w:val="0000EE"/>
                </w:rPr>
                <w:t>3.2**</w:t>
              </w:r>
            </w:hyperlink>
          </w:p>
        </w:tc>
        <w:tc>
          <w:tcPr>
            <w:tcW w:w="200" w:type="dxa"/>
            <w:vAlign w:val="bottom"/>
          </w:tcPr>
          <w:p>
            <w:pPr>
              <w:spacing w:after="0"/>
              <w:rPr>
                <w:sz w:val="20"/>
                <w:szCs w:val="20"/>
                <w:color w:val="auto"/>
              </w:rPr>
            </w:pPr>
          </w:p>
        </w:tc>
        <w:tc>
          <w:tcPr>
            <w:tcW w:w="6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55">
              <w:r>
                <w:rPr>
                  <w:rFonts w:ascii="Times New Roman" w:cs="Times New Roman" w:eastAsia="Times New Roman" w:hAnsi="Times New Roman"/>
                  <w:sz w:val="18"/>
                  <w:szCs w:val="18"/>
                  <w:color w:val="0000EE"/>
                </w:rPr>
                <w:t>Form of Amended and Restated By-Laws of Bentley Systems, Incorporated, to be in effect</w:t>
              </w:r>
            </w:hyperlink>
          </w:p>
        </w:tc>
        <w:tc>
          <w:tcPr>
            <w:tcW w:w="500" w:type="dxa"/>
            <w:vAlign w:val="bottom"/>
            <w:gridSpan w:val="7"/>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17"/>
          </w:tcPr>
          <w:p>
            <w:pPr>
              <w:spacing w:after="0" w:line="196" w:lineRule="exact"/>
              <w:rPr>
                <w:rFonts w:ascii="Times New Roman" w:cs="Times New Roman" w:eastAsia="Times New Roman" w:hAnsi="Times New Roman"/>
                <w:sz w:val="18"/>
                <w:szCs w:val="18"/>
                <w:color w:val="0000EE"/>
              </w:rPr>
            </w:pPr>
            <w:hyperlink r:id="rId955">
              <w:r>
                <w:rPr>
                  <w:rFonts w:ascii="Times New Roman" w:cs="Times New Roman" w:eastAsia="Times New Roman" w:hAnsi="Times New Roman"/>
                  <w:sz w:val="18"/>
                  <w:szCs w:val="18"/>
                  <w:color w:val="0000EE"/>
                </w:rPr>
                <w:t>shortly following the effectiveness of the registration statement</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r:id="rId956">
              <w:r>
                <w:rPr>
                  <w:rFonts w:ascii="Times New Roman" w:cs="Times New Roman" w:eastAsia="Times New Roman" w:hAnsi="Times New Roman"/>
                  <w:sz w:val="18"/>
                  <w:szCs w:val="18"/>
                  <w:u w:val="single" w:color="auto"/>
                  <w:color w:val="0000EE"/>
                </w:rPr>
                <w:t>4.1**</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6">
              <w:r>
                <w:rPr>
                  <w:rFonts w:ascii="Times New Roman" w:cs="Times New Roman" w:eastAsia="Times New Roman" w:hAnsi="Times New Roman"/>
                  <w:sz w:val="18"/>
                  <w:szCs w:val="18"/>
                  <w:u w:val="single" w:color="auto"/>
                  <w:color w:val="0000EE"/>
                </w:rPr>
                <w:t>Form of Registrant’s Class B common stock certificate of Bentley Systems, Incorporated</w:t>
              </w:r>
            </w:hyperlink>
          </w:p>
        </w:tc>
      </w:tr>
      <w:tr>
        <w:trPr>
          <w:trHeight w:val="256"/>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r:id="rId957">
              <w:r>
                <w:rPr>
                  <w:rFonts w:ascii="Times New Roman" w:cs="Times New Roman" w:eastAsia="Times New Roman" w:hAnsi="Times New Roman"/>
                  <w:sz w:val="18"/>
                  <w:szCs w:val="18"/>
                  <w:u w:val="single" w:color="auto"/>
                  <w:color w:val="0000EE"/>
                </w:rPr>
                <w:t>5.1**</w:t>
              </w:r>
            </w:hyperlink>
          </w:p>
        </w:tc>
        <w:tc>
          <w:tcPr>
            <w:tcW w:w="200" w:type="dxa"/>
            <w:vAlign w:val="bottom"/>
          </w:tcPr>
          <w:p>
            <w:pPr>
              <w:spacing w:after="0"/>
              <w:rPr>
                <w:sz w:val="22"/>
                <w:szCs w:val="22"/>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7">
              <w:r>
                <w:rPr>
                  <w:rFonts w:ascii="Times New Roman" w:cs="Times New Roman" w:eastAsia="Times New Roman" w:hAnsi="Times New Roman"/>
                  <w:sz w:val="18"/>
                  <w:szCs w:val="18"/>
                  <w:u w:val="single" w:color="auto"/>
                  <w:color w:val="0000EE"/>
                </w:rPr>
                <w:t>Opinion of Simpson Thacher &amp; Bartlett LLP</w:t>
              </w:r>
            </w:hyperlink>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8">
              <w:r>
                <w:rPr>
                  <w:rFonts w:ascii="Times New Roman" w:cs="Times New Roman" w:eastAsia="Times New Roman" w:hAnsi="Times New Roman"/>
                  <w:sz w:val="18"/>
                  <w:szCs w:val="18"/>
                  <w:u w:val="single" w:color="auto"/>
                  <w:color w:val="0000EE"/>
                </w:rPr>
                <w:t>10.1**</w:t>
              </w:r>
            </w:hyperlink>
          </w:p>
        </w:tc>
        <w:tc>
          <w:tcPr>
            <w:tcW w:w="200" w:type="dxa"/>
            <w:vAlign w:val="bottom"/>
          </w:tcPr>
          <w:p>
            <w:pPr>
              <w:spacing w:after="0"/>
              <w:rPr>
                <w:sz w:val="18"/>
                <w:szCs w:val="18"/>
                <w:color w:val="auto"/>
              </w:rPr>
            </w:pPr>
          </w:p>
        </w:tc>
        <w:tc>
          <w:tcPr>
            <w:tcW w:w="7360" w:type="dxa"/>
            <w:vAlign w:val="bottom"/>
            <w:gridSpan w:val="17"/>
          </w:tcPr>
          <w:p>
            <w:pPr>
              <w:spacing w:after="0"/>
              <w:rPr>
                <w:rFonts w:ascii="Times New Roman" w:cs="Times New Roman" w:eastAsia="Times New Roman" w:hAnsi="Times New Roman"/>
                <w:sz w:val="18"/>
                <w:szCs w:val="18"/>
                <w:color w:val="0000EE"/>
              </w:rPr>
            </w:pPr>
            <w:hyperlink r:id="rId958">
              <w:r>
                <w:rPr>
                  <w:rFonts w:ascii="Times New Roman" w:cs="Times New Roman" w:eastAsia="Times New Roman" w:hAnsi="Times New Roman"/>
                  <w:sz w:val="18"/>
                  <w:szCs w:val="18"/>
                  <w:color w:val="0000EE"/>
                </w:rPr>
                <w:t>Amended and Restated Credit Agreement, dated as of December 19, 2017, by and among the</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58">
              <w:r>
                <w:rPr>
                  <w:rFonts w:ascii="Times New Roman" w:cs="Times New Roman" w:eastAsia="Times New Roman" w:hAnsi="Times New Roman"/>
                  <w:sz w:val="18"/>
                  <w:szCs w:val="18"/>
                  <w:color w:val="0000EE"/>
                </w:rPr>
                <w:t>Registrant, PNC Bank National Association, as administrative agent, and the lenders party</w:t>
              </w:r>
            </w:hyperlink>
          </w:p>
        </w:tc>
        <w:tc>
          <w:tcPr>
            <w:tcW w:w="180" w:type="dxa"/>
            <w:vAlign w:val="bottom"/>
            <w:tcBorders>
              <w:top w:val="single" w:sz="8" w:color="0000EE"/>
            </w:tcBorders>
            <w:gridSpan w:val="2"/>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958">
              <w:r>
                <w:rPr>
                  <w:rFonts w:ascii="Times New Roman" w:cs="Times New Roman" w:eastAsia="Times New Roman" w:hAnsi="Times New Roman"/>
                  <w:sz w:val="18"/>
                  <w:szCs w:val="18"/>
                  <w:color w:val="0000EE"/>
                </w:rPr>
                <w:t>thereto</w:t>
              </w:r>
            </w:hyperlink>
          </w:p>
        </w:tc>
        <w:tc>
          <w:tcPr>
            <w:tcW w:w="6820" w:type="dxa"/>
            <w:vAlign w:val="bottom"/>
            <w:gridSpan w:val="16"/>
          </w:tcPr>
          <w:p>
            <w:pPr>
              <w:spacing w:after="0"/>
              <w:rPr>
                <w:sz w:val="17"/>
                <w:szCs w:val="17"/>
                <w:color w:val="auto"/>
              </w:rPr>
            </w:pPr>
          </w:p>
        </w:tc>
      </w:tr>
      <w:tr>
        <w:trPr>
          <w:trHeight w:val="25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9">
              <w:r>
                <w:rPr>
                  <w:rFonts w:ascii="Times New Roman" w:cs="Times New Roman" w:eastAsia="Times New Roman" w:hAnsi="Times New Roman"/>
                  <w:sz w:val="18"/>
                  <w:szCs w:val="18"/>
                  <w:u w:val="single" w:color="auto"/>
                  <w:color w:val="0000EE"/>
                </w:rPr>
                <w:t>10.2**</w:t>
              </w:r>
            </w:hyperlink>
          </w:p>
        </w:tc>
        <w:tc>
          <w:tcPr>
            <w:tcW w:w="200" w:type="dxa"/>
            <w:vAlign w:val="bottom"/>
          </w:tcPr>
          <w:p>
            <w:pPr>
              <w:spacing w:after="0"/>
              <w:rPr>
                <w:sz w:val="21"/>
                <w:szCs w:val="21"/>
                <w:color w:val="auto"/>
              </w:rPr>
            </w:pPr>
          </w:p>
        </w:tc>
        <w:tc>
          <w:tcPr>
            <w:tcW w:w="6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59">
              <w:r>
                <w:rPr>
                  <w:rFonts w:ascii="Times New Roman" w:cs="Times New Roman" w:eastAsia="Times New Roman" w:hAnsi="Times New Roman"/>
                  <w:sz w:val="18"/>
                  <w:szCs w:val="18"/>
                  <w:color w:val="0000EE"/>
                </w:rPr>
                <w:t>Common Stock Purchase Agreement, by and among the Registrant, Siemens AG, and the</w:t>
              </w:r>
            </w:hyperlink>
          </w:p>
        </w:tc>
        <w:tc>
          <w:tcPr>
            <w:tcW w:w="620" w:type="dxa"/>
            <w:vAlign w:val="bottom"/>
            <w:gridSpan w:val="9"/>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59">
              <w:r>
                <w:rPr>
                  <w:rFonts w:ascii="Times New Roman" w:cs="Times New Roman" w:eastAsia="Times New Roman" w:hAnsi="Times New Roman"/>
                  <w:sz w:val="18"/>
                  <w:szCs w:val="18"/>
                  <w:color w:val="0000EE"/>
                </w:rPr>
                <w:t>persons listed as “Key Holders” therein, dated September 23, 2016, as amended on October 28,</w:t>
              </w:r>
            </w:hyperlink>
          </w:p>
        </w:tc>
        <w:tc>
          <w:tcPr>
            <w:tcW w:w="16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59">
              <w:r>
                <w:rPr>
                  <w:rFonts w:ascii="Times New Roman" w:cs="Times New Roman" w:eastAsia="Times New Roman" w:hAnsi="Times New Roman"/>
                  <w:sz w:val="18"/>
                  <w:szCs w:val="18"/>
                  <w:color w:val="0000EE"/>
                </w:rPr>
                <w:t>2016, and April 23, 2018</w:t>
              </w:r>
            </w:hyperlink>
          </w:p>
        </w:tc>
        <w:tc>
          <w:tcPr>
            <w:tcW w:w="5460" w:type="dxa"/>
            <w:vAlign w:val="bottom"/>
            <w:gridSpan w:val="13"/>
          </w:tcPr>
          <w:p>
            <w:pPr>
              <w:spacing w:after="0"/>
              <w:rPr>
                <w:sz w:val="17"/>
                <w:szCs w:val="17"/>
                <w:color w:val="auto"/>
              </w:rPr>
            </w:pPr>
          </w:p>
        </w:tc>
      </w:tr>
      <w:tr>
        <w:trPr>
          <w:trHeight w:val="25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0">
              <w:r>
                <w:rPr>
                  <w:rFonts w:ascii="Times New Roman" w:cs="Times New Roman" w:eastAsia="Times New Roman" w:hAnsi="Times New Roman"/>
                  <w:sz w:val="18"/>
                  <w:szCs w:val="18"/>
                  <w:u w:val="single" w:color="auto"/>
                  <w:color w:val="0000EE"/>
                </w:rPr>
                <w:t>10.3**</w:t>
              </w:r>
            </w:hyperlink>
          </w:p>
        </w:tc>
        <w:tc>
          <w:tcPr>
            <w:tcW w:w="200" w:type="dxa"/>
            <w:vAlign w:val="bottom"/>
          </w:tcPr>
          <w:p>
            <w:pPr>
              <w:spacing w:after="0"/>
              <w:rPr>
                <w:sz w:val="21"/>
                <w:szCs w:val="21"/>
                <w:color w:val="auto"/>
              </w:rPr>
            </w:pPr>
          </w:p>
        </w:tc>
        <w:tc>
          <w:tcPr>
            <w:tcW w:w="7360" w:type="dxa"/>
            <w:vAlign w:val="bottom"/>
            <w:gridSpan w:val="17"/>
          </w:tcPr>
          <w:p>
            <w:pPr>
              <w:spacing w:after="0"/>
              <w:rPr>
                <w:rFonts w:ascii="Times New Roman" w:cs="Times New Roman" w:eastAsia="Times New Roman" w:hAnsi="Times New Roman"/>
                <w:sz w:val="18"/>
                <w:szCs w:val="18"/>
                <w:color w:val="0000EE"/>
              </w:rPr>
            </w:pPr>
            <w:hyperlink r:id="rId960">
              <w:r>
                <w:rPr>
                  <w:rFonts w:ascii="Times New Roman" w:cs="Times New Roman" w:eastAsia="Times New Roman" w:hAnsi="Times New Roman"/>
                  <w:sz w:val="18"/>
                  <w:szCs w:val="18"/>
                  <w:color w:val="0000EE"/>
                </w:rPr>
                <w:t>Registration Rights Agreement, dated as of January 24, 2017, by and between the Registrant and</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60">
              <w:r>
                <w:rPr>
                  <w:rFonts w:ascii="Times New Roman" w:cs="Times New Roman" w:eastAsia="Times New Roman" w:hAnsi="Times New Roman"/>
                  <w:sz w:val="18"/>
                  <w:szCs w:val="18"/>
                  <w:color w:val="0000EE"/>
                </w:rPr>
                <w:t>Siemens Corporation</w:t>
              </w:r>
            </w:hyperlink>
          </w:p>
        </w:tc>
        <w:tc>
          <w:tcPr>
            <w:tcW w:w="570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1">
              <w:r>
                <w:rPr>
                  <w:rFonts w:ascii="Times New Roman" w:cs="Times New Roman" w:eastAsia="Times New Roman" w:hAnsi="Times New Roman"/>
                  <w:sz w:val="18"/>
                  <w:szCs w:val="18"/>
                  <w:u w:val="single" w:color="auto"/>
                  <w:color w:val="0000EE"/>
                </w:rPr>
                <w:t>10.4†**</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1">
              <w:r>
                <w:rPr>
                  <w:rFonts w:ascii="Times New Roman" w:cs="Times New Roman" w:eastAsia="Times New Roman" w:hAnsi="Times New Roman"/>
                  <w:sz w:val="18"/>
                  <w:szCs w:val="18"/>
                  <w:u w:val="single" w:color="auto"/>
                  <w:color w:val="0000EE"/>
                </w:rPr>
                <w:t>Form of Bentley Systems, Incorporated Bonus Pool Plan, as amended and restated</w:t>
              </w:r>
            </w:hyperlink>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2">
              <w:r>
                <w:rPr>
                  <w:rFonts w:ascii="Times New Roman" w:cs="Times New Roman" w:eastAsia="Times New Roman" w:hAnsi="Times New Roman"/>
                  <w:sz w:val="18"/>
                  <w:szCs w:val="18"/>
                  <w:u w:val="single" w:color="auto"/>
                  <w:color w:val="0000EE"/>
                </w:rPr>
                <w:t>10.5†**</w:t>
              </w:r>
            </w:hyperlink>
          </w:p>
        </w:tc>
        <w:tc>
          <w:tcPr>
            <w:tcW w:w="200" w:type="dxa"/>
            <w:vAlign w:val="bottom"/>
          </w:tcPr>
          <w:p>
            <w:pPr>
              <w:spacing w:after="0"/>
              <w:rPr>
                <w:sz w:val="18"/>
                <w:szCs w:val="18"/>
                <w:color w:val="auto"/>
              </w:rPr>
            </w:pPr>
          </w:p>
        </w:tc>
        <w:tc>
          <w:tcPr>
            <w:tcW w:w="7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62">
              <w:r>
                <w:rPr>
                  <w:rFonts w:ascii="Times New Roman" w:cs="Times New Roman" w:eastAsia="Times New Roman" w:hAnsi="Times New Roman"/>
                  <w:sz w:val="18"/>
                  <w:szCs w:val="18"/>
                  <w:color w:val="0000EE"/>
                </w:rPr>
                <w:t>Bentley Systems, Incorporated 2015 Equity Incentive Plan, as amended and restated effective as</w:t>
              </w:r>
            </w:hyperlink>
          </w:p>
        </w:tc>
        <w:tc>
          <w:tcPr>
            <w:tcW w:w="80" w:type="dxa"/>
            <w:vAlign w:val="bottom"/>
            <w:gridSpan w:val="3"/>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962">
              <w:r>
                <w:rPr>
                  <w:rFonts w:ascii="Times New Roman" w:cs="Times New Roman" w:eastAsia="Times New Roman" w:hAnsi="Times New Roman"/>
                  <w:sz w:val="18"/>
                  <w:szCs w:val="18"/>
                  <w:color w:val="0000EE"/>
                </w:rPr>
                <w:t>of May 29, 2018</w:t>
              </w:r>
            </w:hyperlink>
          </w:p>
        </w:tc>
        <w:tc>
          <w:tcPr>
            <w:tcW w:w="6100" w:type="dxa"/>
            <w:vAlign w:val="bottom"/>
            <w:gridSpan w:val="15"/>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3">
              <w:r>
                <w:rPr>
                  <w:rFonts w:ascii="Times New Roman" w:cs="Times New Roman" w:eastAsia="Times New Roman" w:hAnsi="Times New Roman"/>
                  <w:sz w:val="18"/>
                  <w:szCs w:val="18"/>
                  <w:u w:val="single" w:color="auto"/>
                  <w:color w:val="0000EE"/>
                </w:rPr>
                <w:t>10.6†**</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3">
              <w:r>
                <w:rPr>
                  <w:rFonts w:ascii="Times New Roman" w:cs="Times New Roman" w:eastAsia="Times New Roman" w:hAnsi="Times New Roman"/>
                  <w:sz w:val="18"/>
                  <w:szCs w:val="18"/>
                  <w:u w:val="single" w:color="auto"/>
                  <w:color w:val="0000EE"/>
                </w:rPr>
                <w:t>Form of Bentley Systems, Incorporated Nonqualified Deferred Compensation Plan</w:t>
              </w:r>
            </w:hyperlink>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4">
              <w:r>
                <w:rPr>
                  <w:rFonts w:ascii="Times New Roman" w:cs="Times New Roman" w:eastAsia="Times New Roman" w:hAnsi="Times New Roman"/>
                  <w:sz w:val="18"/>
                  <w:szCs w:val="18"/>
                  <w:u w:val="single" w:color="auto"/>
                  <w:color w:val="0000EE"/>
                </w:rPr>
                <w:t>10.7†**</w:t>
              </w:r>
            </w:hyperlink>
          </w:p>
        </w:tc>
        <w:tc>
          <w:tcPr>
            <w:tcW w:w="200" w:type="dxa"/>
            <w:vAlign w:val="bottom"/>
          </w:tcPr>
          <w:p>
            <w:pPr>
              <w:spacing w:after="0"/>
              <w:rPr>
                <w:sz w:val="18"/>
                <w:szCs w:val="18"/>
                <w:color w:val="auto"/>
              </w:rPr>
            </w:pPr>
          </w:p>
        </w:tc>
        <w:tc>
          <w:tcPr>
            <w:tcW w:w="7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64">
              <w:r>
                <w:rPr>
                  <w:rFonts w:ascii="Times New Roman" w:cs="Times New Roman" w:eastAsia="Times New Roman" w:hAnsi="Times New Roman"/>
                  <w:sz w:val="18"/>
                  <w:szCs w:val="18"/>
                  <w:color w:val="0000EE"/>
                </w:rPr>
                <w:t>Bentley Systems, Incorporated Nonqualified Deferred Compensation Plan for Non-Employee</w:t>
              </w:r>
            </w:hyperlink>
          </w:p>
        </w:tc>
        <w:tc>
          <w:tcPr>
            <w:tcW w:w="300" w:type="dxa"/>
            <w:vAlign w:val="bottom"/>
            <w:gridSpan w:val="5"/>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64">
              <w:r>
                <w:rPr>
                  <w:rFonts w:ascii="Times New Roman" w:cs="Times New Roman" w:eastAsia="Times New Roman" w:hAnsi="Times New Roman"/>
                  <w:sz w:val="18"/>
                  <w:szCs w:val="18"/>
                  <w:color w:val="0000EE"/>
                </w:rPr>
                <w:t>Directors, as amended and restated as of January 1, 2015</w:t>
              </w:r>
            </w:hyperlink>
          </w:p>
        </w:tc>
        <w:tc>
          <w:tcPr>
            <w:tcW w:w="3060" w:type="dxa"/>
            <w:vAlign w:val="bottom"/>
            <w:gridSpan w:val="12"/>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5">
              <w:r>
                <w:rPr>
                  <w:rFonts w:ascii="Times New Roman" w:cs="Times New Roman" w:eastAsia="Times New Roman" w:hAnsi="Times New Roman"/>
                  <w:sz w:val="18"/>
                  <w:szCs w:val="18"/>
                  <w:u w:val="single" w:color="auto"/>
                  <w:color w:val="0000EE"/>
                </w:rPr>
                <w:t>10.8†**</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5">
              <w:r>
                <w:rPr>
                  <w:rFonts w:ascii="Times New Roman" w:cs="Times New Roman" w:eastAsia="Times New Roman" w:hAnsi="Times New Roman"/>
                  <w:sz w:val="18"/>
                  <w:szCs w:val="18"/>
                  <w:u w:val="single" w:color="auto"/>
                  <w:color w:val="0000EE"/>
                </w:rPr>
                <w:t>Form of Bentley Systems, Incorporated 2020 Omnibus Incentive Plan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6">
              <w:r>
                <w:rPr>
                  <w:rFonts w:ascii="Times New Roman" w:cs="Times New Roman" w:eastAsia="Times New Roman" w:hAnsi="Times New Roman"/>
                  <w:sz w:val="18"/>
                  <w:szCs w:val="18"/>
                  <w:u w:val="single" w:color="auto"/>
                  <w:color w:val="0000EE"/>
                </w:rPr>
                <w:t>10.9†**</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6">
              <w:r>
                <w:rPr>
                  <w:rFonts w:ascii="Times New Roman" w:cs="Times New Roman" w:eastAsia="Times New Roman" w:hAnsi="Times New Roman"/>
                  <w:sz w:val="18"/>
                  <w:szCs w:val="18"/>
                  <w:u w:val="single" w:color="auto"/>
                  <w:color w:val="0000EE"/>
                </w:rPr>
                <w:t>Form of Bentley Systems, Incorporated Global Employee Stock Purchase Plan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7">
              <w:r>
                <w:rPr>
                  <w:rFonts w:ascii="Times New Roman" w:cs="Times New Roman" w:eastAsia="Times New Roman" w:hAnsi="Times New Roman"/>
                  <w:sz w:val="18"/>
                  <w:szCs w:val="18"/>
                  <w:u w:val="single" w:color="auto"/>
                  <w:color w:val="0000EE"/>
                </w:rPr>
                <w:t>10.10**</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7">
              <w:r>
                <w:rPr>
                  <w:rFonts w:ascii="Times New Roman" w:cs="Times New Roman" w:eastAsia="Times New Roman" w:hAnsi="Times New Roman"/>
                  <w:sz w:val="18"/>
                  <w:szCs w:val="18"/>
                  <w:u w:val="single" w:color="auto"/>
                  <w:color w:val="0000EE"/>
                </w:rPr>
                <w:t>Amendment to the Amended and Restated Credit Agreement, dated as of September 2, 2020</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8">
              <w:r>
                <w:rPr>
                  <w:rFonts w:ascii="Times New Roman" w:cs="Times New Roman" w:eastAsia="Times New Roman" w:hAnsi="Times New Roman"/>
                  <w:sz w:val="18"/>
                  <w:szCs w:val="18"/>
                  <w:u w:val="single" w:color="auto"/>
                  <w:color w:val="0000EE"/>
                </w:rPr>
                <w:t>21.1**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8">
              <w:r>
                <w:rPr>
                  <w:rFonts w:ascii="Times New Roman" w:cs="Times New Roman" w:eastAsia="Times New Roman" w:hAnsi="Times New Roman"/>
                  <w:sz w:val="18"/>
                  <w:szCs w:val="18"/>
                  <w:u w:val="single" w:color="auto"/>
                  <w:color w:val="0000EE"/>
                </w:rPr>
                <w:t>List of Subsidiaries of Registrant</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w:anchor="page302">
              <w:r>
                <w:rPr>
                  <w:rFonts w:ascii="Times New Roman" w:cs="Times New Roman" w:eastAsia="Times New Roman" w:hAnsi="Times New Roman"/>
                  <w:sz w:val="18"/>
                  <w:szCs w:val="18"/>
                  <w:u w:val="single" w:color="auto"/>
                  <w:color w:val="0000EE"/>
                </w:rPr>
                <w:t>23.1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302">
              <w:r>
                <w:rPr>
                  <w:rFonts w:ascii="Times New Roman" w:cs="Times New Roman" w:eastAsia="Times New Roman" w:hAnsi="Times New Roman"/>
                  <w:sz w:val="18"/>
                  <w:szCs w:val="18"/>
                  <w:u w:val="single" w:color="auto"/>
                  <w:color w:val="0000EE"/>
                </w:rPr>
                <w:t>Consent of KPMG LLP, Independent Registered Public Accounting Firm</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7">
              <w:r>
                <w:rPr>
                  <w:rFonts w:ascii="Times New Roman" w:cs="Times New Roman" w:eastAsia="Times New Roman" w:hAnsi="Times New Roman"/>
                  <w:sz w:val="18"/>
                  <w:szCs w:val="18"/>
                  <w:u w:val="single" w:color="auto"/>
                  <w:color w:val="0000EE"/>
                </w:rPr>
                <w:t>23.2**</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7">
              <w:r>
                <w:rPr>
                  <w:rFonts w:ascii="Times New Roman" w:cs="Times New Roman" w:eastAsia="Times New Roman" w:hAnsi="Times New Roman"/>
                  <w:sz w:val="18"/>
                  <w:szCs w:val="18"/>
                  <w:u w:val="single" w:color="auto"/>
                  <w:color w:val="0000EE"/>
                </w:rPr>
                <w:t>Consent of Simpson Thacher &amp; Bartlett LLP (included in Exhibit 5.1)</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9">
              <w:r>
                <w:rPr>
                  <w:rFonts w:ascii="Times New Roman" w:cs="Times New Roman" w:eastAsia="Times New Roman" w:hAnsi="Times New Roman"/>
                  <w:sz w:val="18"/>
                  <w:szCs w:val="18"/>
                  <w:u w:val="single" w:color="auto"/>
                  <w:color w:val="0000EE"/>
                </w:rPr>
                <w:t>23.3**</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9">
              <w:r>
                <w:rPr>
                  <w:rFonts w:ascii="Times New Roman" w:cs="Times New Roman" w:eastAsia="Times New Roman" w:hAnsi="Times New Roman"/>
                  <w:sz w:val="18"/>
                  <w:szCs w:val="18"/>
                  <w:u w:val="single" w:color="auto"/>
                  <w:color w:val="0000EE"/>
                </w:rPr>
                <w:t>Consent of Cambashi Limited</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70">
              <w:r>
                <w:rPr>
                  <w:rFonts w:ascii="Times New Roman" w:cs="Times New Roman" w:eastAsia="Times New Roman" w:hAnsi="Times New Roman"/>
                  <w:sz w:val="18"/>
                  <w:szCs w:val="18"/>
                  <w:u w:val="single" w:color="auto"/>
                  <w:color w:val="0000EE"/>
                </w:rPr>
                <w:t>23.4**</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70">
              <w:r>
                <w:rPr>
                  <w:rFonts w:ascii="Times New Roman" w:cs="Times New Roman" w:eastAsia="Times New Roman" w:hAnsi="Times New Roman"/>
                  <w:sz w:val="18"/>
                  <w:szCs w:val="18"/>
                  <w:u w:val="single" w:color="auto"/>
                  <w:color w:val="0000EE"/>
                </w:rPr>
                <w:t>Consent of Janet Haugen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71">
              <w:r>
                <w:rPr>
                  <w:rFonts w:ascii="Times New Roman" w:cs="Times New Roman" w:eastAsia="Times New Roman" w:hAnsi="Times New Roman"/>
                  <w:sz w:val="18"/>
                  <w:szCs w:val="18"/>
                  <w:u w:val="single" w:color="auto"/>
                  <w:color w:val="0000EE"/>
                </w:rPr>
                <w:t>24.1**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71">
              <w:r>
                <w:rPr>
                  <w:rFonts w:ascii="Times New Roman" w:cs="Times New Roman" w:eastAsia="Times New Roman" w:hAnsi="Times New Roman"/>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Previously filed.</w:t>
      </w:r>
    </w:p>
    <w:p>
      <w:pPr>
        <w:spacing w:after="0" w:line="77" w:lineRule="exact"/>
        <w:rPr>
          <w:sz w:val="20"/>
          <w:szCs w:val="20"/>
          <w:color w:val="auto"/>
        </w:rPr>
      </w:pPr>
    </w:p>
    <w:p>
      <w:pPr>
        <w:ind w:left="1620" w:hanging="358"/>
        <w:spacing w:after="0"/>
        <w:tabs>
          <w:tab w:leader="none" w:pos="16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plan.</w:t>
      </w:r>
    </w:p>
    <w:p>
      <w:pPr>
        <w:spacing w:after="0" w:line="155" w:lineRule="exact"/>
        <w:rPr>
          <w:rFonts w:ascii="Times New Roman" w:cs="Times New Roman" w:eastAsia="Times New Roman" w:hAnsi="Times New Roman"/>
          <w:sz w:val="18"/>
          <w:szCs w:val="18"/>
          <w:color w:val="auto"/>
        </w:rPr>
      </w:pPr>
    </w:p>
    <w:p>
      <w:pPr>
        <w:ind w:left="1260" w:right="679" w:firstLine="362"/>
        <w:spacing w:after="0" w:line="267" w:lineRule="auto"/>
        <w:tabs>
          <w:tab w:leader="none" w:pos="1889" w:val="left"/>
        </w:tabs>
        <w:numPr>
          <w:ilvl w:val="1"/>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financial statement schedules are omitted because they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the information is included in the registrant’s consolidated financial statements or related notes included in the prospectus that is part of this registration statement.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9" w:name="page300"/>
    <w:bookmarkEnd w:id="29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registrant hereby further undertakes that:</w:t>
      </w:r>
    </w:p>
    <w:p>
      <w:pPr>
        <w:spacing w:after="0" w:line="158" w:lineRule="exact"/>
        <w:rPr>
          <w:sz w:val="20"/>
          <w:szCs w:val="20"/>
          <w:color w:val="auto"/>
        </w:rPr>
      </w:pPr>
    </w:p>
    <w:p>
      <w:pPr>
        <w:ind w:left="1980" w:right="859" w:hanging="358"/>
        <w:spacing w:after="0" w:line="258"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1980" w:right="739" w:hanging="358"/>
        <w:spacing w:after="0" w:line="261"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0" w:name="page301"/>
    <w:bookmarkEnd w:id="30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1260" w:right="999" w:firstLine="360"/>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Exton, Pennsylvania on this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of September, 2020.</w:t>
      </w:r>
    </w:p>
    <w:p>
      <w:pPr>
        <w:spacing w:after="0" w:line="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51435</wp:posOffset>
            </wp:positionV>
            <wp:extent cx="246888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J. Hollister</w:t>
      </w:r>
    </w:p>
    <w:p>
      <w:pPr>
        <w:spacing w:after="0" w:line="27"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2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15" w:lineRule="exact"/>
        <w:rPr>
          <w:sz w:val="20"/>
          <w:szCs w:val="20"/>
          <w:color w:val="auto"/>
        </w:rPr>
      </w:pPr>
    </w:p>
    <w:p>
      <w:pPr>
        <w:ind w:left="2400"/>
        <w:spacing w:after="0"/>
        <w:tabs>
          <w:tab w:leader="none" w:pos="5760" w:val="left"/>
          <w:tab w:leader="none" w:pos="84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52120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18"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Gregory S. Bentley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David J. Hollister</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Werner 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Werner Andre</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Keith A.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1">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Barry J.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Raymond B.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Kirk B. Griswold</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Brian F. Hughes</w:t>
      </w:r>
    </w:p>
    <w:p>
      <w:pPr>
        <w:spacing w:after="0" w:line="5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 David J. Hollister</w:t>
      </w:r>
    </w:p>
    <w:p>
      <w:pPr>
        <w:ind w:left="1260"/>
        <w:spacing w:after="0" w:line="202" w:lineRule="auto"/>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Name: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-171450</wp:posOffset>
            </wp:positionV>
            <wp:extent cx="150876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1720"/>
        <w:spacing w:after="0"/>
        <w:tabs>
          <w:tab w:leader="none" w:pos="22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Chief Accounting Officer (Principal Accounting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9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1286" w:lineRule="exact"/>
        <w:rPr>
          <w:sz w:val="20"/>
          <w:szCs w:val="20"/>
          <w:color w:val="auto"/>
        </w:rPr>
      </w:pPr>
    </w:p>
    <w:p>
      <w:pPr>
        <w:sectPr>
          <w:pgSz w:w="11900" w:h="16838" w:orient="portrait"/>
          <w:cols w:equalWidth="0" w:num="3">
            <w:col w:w="3640" w:space="680"/>
            <w:col w:w="2820" w:space="720"/>
            <w:col w:w="227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use of our report dated March 6, 2020, with respect to the consolidated balance sheets of Bentley Systems, Incorporated as of December 31, 2019 and 2018, the related consolidated statements of operations, comprehensive income, stockholders’ equity, and cash flows for each of the years in the two-year period ended December 31, 2019, and the related notes, included herein and to the reference to our firm under the heading ‘Experts’ in the prospectus.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report refers to changes in accounting principle for revenue from contracts with customers and sales commissions due to the adoption of new accounting standards as of January 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amp;"/>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lvl w:ilvl="1">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1)"/>
      <w:numFmt w:val="decimal"/>
      <w:start w:val="1"/>
    </w:lvl>
  </w:abstractNum>
  <w:abstractNum w:abstractNumId="20">
    <w:nsid w:val="6EB5BD4"/>
    <w:multiLevelType w:val="hybridMultilevel"/>
    <w:lvl w:ilvl="0">
      <w:lvlJc w:val="left"/>
      <w:lvlText w:val="(%1)"/>
      <w:numFmt w:val="decimal"/>
      <w:start w:val="1"/>
    </w:lvl>
  </w:abstractNum>
  <w:abstractNum w:abstractNumId="21">
    <w:nsid w:val="6F6DD9AC"/>
    <w:multiLevelType w:val="hybridMultilevel"/>
    <w:lvl w:ilvl="0">
      <w:lvlJc w:val="left"/>
      <w:lvlText w:val="(%1)"/>
      <w:numFmt w:val="decimal"/>
      <w:start w:val="1"/>
    </w:lvl>
  </w:abstractNum>
  <w:abstractNum w:abstractNumId="22">
    <w:nsid w:val="94211F2"/>
    <w:multiLevelType w:val="hybridMultilevel"/>
    <w:lvl w:ilvl="0">
      <w:lvlJc w:val="left"/>
      <w:lvlText w:val="(%1)"/>
      <w:numFmt w:val="decimal"/>
      <w:start w:val="2"/>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1)"/>
      <w:numFmt w:val="decimal"/>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1)"/>
      <w:numFmt w:val="decimal"/>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1)"/>
      <w:numFmt w:val="decimal"/>
      <w:start w:val="1"/>
    </w:lvl>
  </w:abstractNum>
  <w:abstractNum w:abstractNumId="41">
    <w:nsid w:val="49DA307D"/>
    <w:multiLevelType w:val="hybridMultilevel"/>
    <w:lvl w:ilvl="0">
      <w:lvlJc w:val="left"/>
      <w:lvlText w:val="(%1)"/>
      <w:numFmt w:val="decimal"/>
      <w:start w:val="1"/>
    </w:lvl>
  </w:abstractNum>
  <w:abstractNum w:abstractNumId="42">
    <w:nsid w:val="7055A5F5"/>
    <w:multiLevelType w:val="hybridMultilevel"/>
    <w:lvl w:ilvl="0">
      <w:lvlJc w:val="left"/>
      <w:lvlText w:val="(%1)"/>
      <w:numFmt w:val="decimal"/>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1)"/>
      <w:numFmt w:val="decimal"/>
      <w:start w:val="1"/>
    </w:lvl>
  </w:abstractNum>
  <w:abstractNum w:abstractNumId="45">
    <w:nsid w:val="488AC1A"/>
    <w:multiLevelType w:val="hybridMultilevel"/>
    <w:lvl w:ilvl="0">
      <w:lvlJc w:val="left"/>
      <w:lvlText w:val="(%1)"/>
      <w:numFmt w:val="decimal"/>
      <w:start w:val="3"/>
    </w:lvl>
    <w:lvl w:ilvl="1">
      <w:lvlJc w:val="left"/>
      <w:lvlText w:val="(%2)"/>
      <w:numFmt w:val="lowerLetter"/>
      <w:start w:val="1"/>
    </w:lvl>
  </w:abstractNum>
  <w:abstractNum w:abstractNumId="46">
    <w:nsid w:val="5FB8011C"/>
    <w:multiLevelType w:val="hybridMultilevel"/>
    <w:lvl w:ilvl="0">
      <w:lvlJc w:val="left"/>
      <w:lvlText w:val="(%1)"/>
      <w:numFmt w:val="lowerLetter"/>
      <w:start w:val="7"/>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1)"/>
      <w:numFmt w:val="lowerRoman"/>
      <w:start w:val="2"/>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1)"/>
      <w:numFmt w:val="decimal"/>
      <w:start w:val="1"/>
    </w:lvl>
  </w:abstractNum>
  <w:abstractNum w:abstractNumId="58">
    <w:nsid w:val="6A3DD3E8"/>
    <w:multiLevelType w:val="hybridMultilevel"/>
    <w:lvl w:ilvl="0">
      <w:lvlJc w:val="left"/>
      <w:lvlText w:val="(%1)"/>
      <w:numFmt w:val="decimal"/>
      <w:start w:val="1"/>
    </w:lvl>
  </w:abstractNum>
  <w:abstractNum w:abstractNumId="59">
    <w:nsid w:val="71C91298"/>
    <w:multiLevelType w:val="hybridMultilevel"/>
    <w:lvl w:ilvl="0">
      <w:lvlJc w:val="left"/>
      <w:lvlText w:val="%1."/>
      <w:numFmt w:val="decimal"/>
      <w:start w:val="606"/>
    </w:lvl>
  </w:abstractNum>
  <w:abstractNum w:abstractNumId="60">
    <w:nsid w:val="9DAF632"/>
    <w:multiLevelType w:val="hybridMultilevel"/>
    <w:lvl w:ilvl="0">
      <w:lvlJc w:val="left"/>
      <w:lvlText w:val="(%1)"/>
      <w:numFmt w:val="lowerRoman"/>
      <w:start w:val="2"/>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amp;"/>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lvl w:ilvl="1">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lvl w:ilvl="1">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lvl w:ilvl="1">
      <w:lvlJc w:val="left"/>
      <w:lvlText w:val="•"/>
      <w:numFmt w:val="bullet"/>
      <w:start w:val="1"/>
    </w:lvl>
  </w:abstractNum>
  <w:abstractNum w:abstractNumId="78">
    <w:nsid w:val="E7FFA2B"/>
    <w:multiLevelType w:val="hybridMultilevel"/>
    <w:lvl w:ilvl="0">
      <w:lvlJc w:val="left"/>
      <w:lvlText w:val="•"/>
      <w:numFmt w:val="bullet"/>
      <w:start w:val="1"/>
    </w:lvl>
    <w:lvl w:ilvl="1">
      <w:lvlJc w:val="left"/>
      <w:lvlText w:val="•"/>
      <w:numFmt w:val="bullet"/>
      <w:start w:val="1"/>
    </w:lvl>
  </w:abstractNum>
  <w:abstractNum w:abstractNumId="79">
    <w:nsid w:val="3C5991AA"/>
    <w:multiLevelType w:val="hybridMultilevel"/>
    <w:lvl w:ilvl="0">
      <w:lvlJc w:val="left"/>
      <w:lvlText w:val="•"/>
      <w:numFmt w:val="bullet"/>
      <w:start w:val="1"/>
    </w:lvl>
    <w:lvl w:ilvl="1">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1)"/>
      <w:numFmt w:val="decimal"/>
      <w:start w:val="1"/>
    </w:lvl>
  </w:abstractNum>
  <w:abstractNum w:abstractNumId="98">
    <w:nsid w:val="53B0A9E"/>
    <w:multiLevelType w:val="hybridMultilevel"/>
    <w:lvl w:ilvl="0">
      <w:lvlJc w:val="left"/>
      <w:lvlText w:val="(%1)"/>
      <w:numFmt w:val="decimal"/>
      <w:start w:val="2"/>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1)"/>
      <w:numFmt w:val="decimal"/>
      <w:start w:val="1"/>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1)"/>
      <w:numFmt w:val="lowerRoman"/>
      <w:start w:val="1"/>
    </w:lvl>
  </w:abstractNum>
  <w:abstractNum w:abstractNumId="105">
    <w:nsid w:val="4DF72E4E"/>
    <w:multiLevelType w:val="hybridMultilevel"/>
    <w:lvl w:ilvl="0">
      <w:lvlJc w:val="left"/>
      <w:lvlText w:val="(%1)"/>
      <w:numFmt w:val="upperLetter"/>
      <w:start w:val="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1)"/>
      <w:numFmt w:val="lowerRoman"/>
      <w:start w:val="2"/>
    </w:lvl>
  </w:abstractNum>
  <w:abstractNum w:abstractNumId="108">
    <w:nsid w:val="2A082C70"/>
    <w:multiLevelType w:val="hybridMultilevel"/>
    <w:lvl w:ilvl="0">
      <w:lvlJc w:val="left"/>
      <w:lvlText w:val="(%1)"/>
      <w:numFmt w:val="lowerRoman"/>
      <w:start w:val="2"/>
    </w:lvl>
  </w:abstractNum>
  <w:abstractNum w:abstractNumId="109">
    <w:nsid w:val="5EC6AFD4"/>
    <w:multiLevelType w:val="hybridMultilevel"/>
    <w:lvl w:ilvl="0">
      <w:lvlJc w:val="left"/>
      <w:lvlText w:val="(%1)"/>
      <w:numFmt w:val="lowerRoman"/>
      <w:start w:val="2"/>
    </w:lvl>
  </w:abstractNum>
  <w:abstractNum w:abstractNumId="110">
    <w:nsid w:val="19E21BB2"/>
    <w:multiLevelType w:val="hybridMultilevel"/>
    <w:lvl w:ilvl="0">
      <w:lvlJc w:val="left"/>
      <w:lvlText w:val="(%1)"/>
      <w:numFmt w:val="decimal"/>
      <w:start w:val="1"/>
    </w:lvl>
  </w:abstractNum>
  <w:abstractNum w:abstractNumId="111">
    <w:nsid w:val="75E0858A"/>
    <w:multiLevelType w:val="hybridMultilevel"/>
    <w:lvl w:ilvl="0">
      <w:lvlJc w:val="left"/>
      <w:lvlText w:val="(%1)"/>
      <w:numFmt w:val="decimal"/>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1)"/>
      <w:numFmt w:val="upperLetter"/>
      <w:start w:val="1"/>
    </w:lvl>
  </w:abstractNum>
  <w:abstractNum w:abstractNumId="114">
    <w:nsid w:val="20EE1348"/>
    <w:multiLevelType w:val="hybridMultilevel"/>
    <w:lvl w:ilvl="0">
      <w:lvlJc w:val="left"/>
      <w:lvlText w:val="(%1)"/>
      <w:numFmt w:val="lowerRoman"/>
      <w:start w:val="2"/>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1)"/>
      <w:numFmt w:val="decimal"/>
      <w:start w:val="1"/>
    </w:lvl>
    <w:lvl w:ilvl="1">
      <w:lvlJc w:val="left"/>
      <w:lvlText w:val="(%2)"/>
      <w:numFmt w:val="lowerRoman"/>
      <w:start w:val="3"/>
    </w:lvl>
  </w:abstractNum>
  <w:abstractNum w:abstractNumId="118">
    <w:nsid w:val="704E1DD5"/>
    <w:multiLevelType w:val="hybridMultilevel"/>
    <w:lvl w:ilvl="0">
      <w:lvlJc w:val="left"/>
      <w:lvlText w:val="(%1)"/>
      <w:numFmt w:val="decimal"/>
      <w:start w:val="10"/>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1)"/>
      <w:numFmt w:val="lowerRoman"/>
      <w:start w:val="1"/>
    </w:lvl>
  </w:abstractNum>
  <w:abstractNum w:abstractNumId="129">
    <w:nsid w:val="2A31B62D"/>
    <w:multiLevelType w:val="hybridMultilevel"/>
    <w:lvl w:ilvl="0">
      <w:lvlJc w:val="left"/>
      <w:lvlText w:val="(%1)"/>
      <w:numFmt w:val="decimal"/>
      <w:start w:val="1"/>
    </w:lvl>
  </w:abstractNum>
  <w:abstractNum w:abstractNumId="130">
    <w:nsid w:val="1849C29B"/>
    <w:multiLevelType w:val="hybridMultilevel"/>
    <w:lvl w:ilvl="0">
      <w:lvlJc w:val="left"/>
      <w:lvlText w:val="%1."/>
      <w:numFmt w:val="decimal"/>
      <w:start w:val="606"/>
    </w:lvl>
  </w:abstractNum>
  <w:abstractNum w:abstractNumId="131">
    <w:nsid w:val="7DFF9D09"/>
    <w:multiLevelType w:val="hybridMultilevel"/>
    <w:lvl w:ilvl="0">
      <w:lvlJc w:val="left"/>
      <w:lvlText w:val="(%1)"/>
      <w:numFmt w:val="decimal"/>
      <w:start w:val="1"/>
    </w:lvl>
  </w:abstractNum>
  <w:abstractNum w:abstractNumId="132">
    <w:nsid w:val="754342"/>
    <w:multiLevelType w:val="hybridMultilevel"/>
    <w:lvl w:ilvl="0">
      <w:lvlJc w:val="left"/>
      <w:lvlText w:val="(%1)"/>
      <w:numFmt w:val="lowerRoman"/>
      <w:start w:val="2"/>
    </w:lvl>
  </w:abstractNum>
  <w:abstractNum w:abstractNumId="133">
    <w:nsid w:val="69E7F3E5"/>
    <w:multiLevelType w:val="hybridMultilevel"/>
    <w:lvl w:ilvl="0">
      <w:lvlJc w:val="left"/>
      <w:lvlText w:val="(%1)"/>
      <w:numFmt w:val="decimal"/>
      <w:start w:val="1"/>
    </w:lvl>
  </w:abstractNum>
  <w:abstractNum w:abstractNumId="134">
    <w:nsid w:val="2A6DE806"/>
    <w:multiLevelType w:val="hybridMultilevel"/>
    <w:lvl w:ilvl="0">
      <w:lvlJc w:val="left"/>
      <w:lvlText w:val="(%1)"/>
      <w:numFmt w:val="decimal"/>
      <w:start w:val="1"/>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2"/>
    </w:lvl>
  </w:abstractNum>
  <w:abstractNum w:abstractNumId="137">
    <w:nsid w:val="7AB49DAF"/>
    <w:multiLevelType w:val="hybridMultilevel"/>
    <w:lvl w:ilvl="0">
      <w:lvlJc w:val="left"/>
      <w:lvlText w:val="(%1)"/>
      <w:numFmt w:val="decimal"/>
      <w:start w:val="1"/>
    </w:lvl>
  </w:abstractNum>
  <w:abstractNum w:abstractNumId="138">
    <w:nsid w:val="759F82CD"/>
    <w:multiLevelType w:val="hybridMultilevel"/>
    <w:lvl w:ilvl="0">
      <w:lvlJc w:val="left"/>
      <w:lvlText w:val="(%1)"/>
      <w:numFmt w:val="decimal"/>
      <w:start w:val="1"/>
    </w:lvl>
  </w:abstractNum>
  <w:abstractNum w:abstractNumId="139">
    <w:nsid w:val="61E74EA3"/>
    <w:multiLevelType w:val="hybridMultilevel"/>
    <w:lvl w:ilvl="0">
      <w:lvlJc w:val="left"/>
      <w:lvlText w:val="(%1)"/>
      <w:numFmt w:val="decimal"/>
      <w:start w:val="1"/>
    </w:lvl>
  </w:abstractNum>
  <w:abstractNum w:abstractNumId="140">
    <w:nsid w:val="597B4D84"/>
    <w:multiLevelType w:val="hybridMultilevel"/>
    <w:lvl w:ilvl="0">
      <w:lvlJc w:val="left"/>
      <w:lvlText w:val="(%1)"/>
      <w:numFmt w:val="lowerRoman"/>
      <w:start w:val="3"/>
    </w:lvl>
  </w:abstractNum>
  <w:abstractNum w:abstractNumId="141">
    <w:nsid w:val="F819E7F"/>
    <w:multiLevelType w:val="hybridMultilevel"/>
    <w:lvl w:ilvl="0">
      <w:lvlJc w:val="left"/>
      <w:lvlText w:val="(%1)"/>
      <w:numFmt w:val="lowerRoman"/>
      <w:start w:val="2"/>
    </w:lvl>
  </w:abstractNum>
  <w:abstractNum w:abstractNumId="142">
    <w:nsid w:val="57C7D42D"/>
    <w:multiLevelType w:val="hybridMultilevel"/>
    <w:lvl w:ilvl="0">
      <w:lvlJc w:val="left"/>
      <w:lvlText w:val="(%1)"/>
      <w:numFmt w:val="decimal"/>
      <w:start w:val="1"/>
    </w:lvl>
  </w:abstractNum>
  <w:abstractNum w:abstractNumId="143">
    <w:nsid w:val="312167AD"/>
    <w:multiLevelType w:val="hybridMultilevel"/>
    <w:lvl w:ilvl="0">
      <w:lvlJc w:val="left"/>
      <w:lvlText w:val="(%1)"/>
      <w:numFmt w:val="decimal"/>
      <w:start w:val="1"/>
    </w:lvl>
  </w:abstractNum>
  <w:abstractNum w:abstractNumId="144">
    <w:nsid w:val="631B64D4"/>
    <w:multiLevelType w:val="hybridMultilevel"/>
    <w:lvl w:ilvl="0">
      <w:lvlJc w:val="left"/>
      <w:lvlText w:val="(%1)"/>
      <w:numFmt w:val="lowerLetter"/>
      <w:start w:val="1"/>
    </w:lvl>
    <w:lvl w:ilvl="1">
      <w:lvlJc w:val="left"/>
      <w:lvlText w:val="•"/>
      <w:numFmt w:val="bullet"/>
      <w:start w:val="1"/>
    </w:lvl>
  </w:abstractNum>
  <w:abstractNum w:abstractNumId="145">
    <w:nsid w:val="78B5E776"/>
    <w:multiLevelType w:val="hybridMultilevel"/>
    <w:lvl w:ilvl="0">
      <w:lvlJc w:val="left"/>
      <w:lvlText w:val="(%1)"/>
      <w:numFmt w:val="lowerLetter"/>
      <w:start w:val="1"/>
    </w:lvl>
    <w:lvl w:ilvl="1">
      <w:lvlJc w:val="left"/>
      <w:lvlText w:val="•"/>
      <w:numFmt w:val="bullet"/>
      <w:start w:val="1"/>
    </w:lvl>
  </w:abstractNum>
  <w:abstractNum w:abstractNumId="146">
    <w:nsid w:val="75486E47"/>
    <w:multiLevelType w:val="hybridMultilevel"/>
    <w:lvl w:ilvl="0">
      <w:lvlJc w:val="left"/>
      <w:lvlText w:val="(%1)"/>
      <w:numFmt w:val="lowerLetter"/>
      <w:start w:val="5"/>
    </w:lvl>
    <w:lvl w:ilvl="1">
      <w:lvlJc w:val="left"/>
      <w:lvlText w:val="•"/>
      <w:numFmt w:val="bullet"/>
      <w:start w:val="1"/>
    </w:lvl>
  </w:abstractNum>
  <w:abstractNum w:abstractNumId="147">
    <w:nsid w:val="6E534CDE"/>
    <w:multiLevelType w:val="hybridMultilevel"/>
    <w:lvl w:ilvl="0">
      <w:lvlJc w:val="left"/>
      <w:lvlText w:val="†"/>
      <w:numFmt w:val="bullet"/>
      <w:start w:val="1"/>
    </w:lvl>
    <w:lvl w:ilvl="1">
      <w:lvlJc w:val="left"/>
      <w:lvlText w:val="(%2)"/>
      <w:numFmt w:val="lowerLetter"/>
      <w:start w:val="2"/>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72" Type="http://schemas.openxmlformats.org/officeDocument/2006/relationships/image" Target="media/image946.png"/><Relationship Id="rId973" Type="http://schemas.openxmlformats.org/officeDocument/2006/relationships/image" Target="media/image947.png"/><Relationship Id="rId974" Type="http://schemas.openxmlformats.org/officeDocument/2006/relationships/image" Target="media/image948.png"/><Relationship Id="rId975" Type="http://schemas.openxmlformats.org/officeDocument/2006/relationships/image" Target="media/image949.png"/><Relationship Id="rId976" Type="http://schemas.openxmlformats.org/officeDocument/2006/relationships/image" Target="media/image950.png"/><Relationship Id="rId977" Type="http://schemas.openxmlformats.org/officeDocument/2006/relationships/image" Target="media/image951.png"/><Relationship Id="rId978" Type="http://schemas.openxmlformats.org/officeDocument/2006/relationships/image" Target="media/image952.png"/><Relationship Id="rId979" Type="http://schemas.openxmlformats.org/officeDocument/2006/relationships/image" Target="media/image953.png"/><Relationship Id="rId980" Type="http://schemas.openxmlformats.org/officeDocument/2006/relationships/image" Target="media/image954.png"/><Relationship Id="rId981" Type="http://schemas.openxmlformats.org/officeDocument/2006/relationships/image" Target="media/image955.png"/><Relationship Id="rId982" Type="http://schemas.openxmlformats.org/officeDocument/2006/relationships/image" Target="media/image956.png"/><Relationship Id="rId983" Type="http://schemas.openxmlformats.org/officeDocument/2006/relationships/image" Target="media/image957.png"/><Relationship Id="rId984" Type="http://schemas.openxmlformats.org/officeDocument/2006/relationships/image" Target="media/image958.png"/><Relationship Id="rId985" Type="http://schemas.openxmlformats.org/officeDocument/2006/relationships/image" Target="media/image959.png"/><Relationship Id="rId986" Type="http://schemas.openxmlformats.org/officeDocument/2006/relationships/image" Target="media/image960.png"/><Relationship Id="rId987" Type="http://schemas.openxmlformats.org/officeDocument/2006/relationships/image" Target="media/image961.png"/><Relationship Id="rId953" Type="http://schemas.openxmlformats.org/officeDocument/2006/relationships/hyperlink" Target="http://www.sec.gov/Archives/edgar/data/1031308/000110465920105086/tm1922834d6_ex1-1.htm" TargetMode="External"/><Relationship Id="rId954" Type="http://schemas.openxmlformats.org/officeDocument/2006/relationships/hyperlink" Target="http://www.sec.gov/Archives/edgar/data/1031308/000110465920105086/tm2022834d6_ex3-1.htm" TargetMode="External"/><Relationship Id="rId955" Type="http://schemas.openxmlformats.org/officeDocument/2006/relationships/hyperlink" Target="http://www.sec.gov/Archives/edgar/data/1031308/000110465920105086/tm2022834d6_ex3-2.htm" TargetMode="External"/><Relationship Id="rId956" Type="http://schemas.openxmlformats.org/officeDocument/2006/relationships/hyperlink" Target="http://www.sec.gov/Archives/edgar/data/1031308/000110465920106251/tm1922834d8_ex4-1.htm" TargetMode="External"/><Relationship Id="rId957" Type="http://schemas.openxmlformats.org/officeDocument/2006/relationships/hyperlink" Target="http://www.sec.gov/Archives/edgar/data/1031308/000110465920106251/tm1922834d8_ex5-1.htm" TargetMode="External"/><Relationship Id="rId958" Type="http://schemas.openxmlformats.org/officeDocument/2006/relationships/hyperlink" Target="http://www.sec.gov/Archives/edgar/data/1031308/000155837020010811/bsy-20200821xex10d1.htm" TargetMode="External"/><Relationship Id="rId959" Type="http://schemas.openxmlformats.org/officeDocument/2006/relationships/hyperlink" Target="http://www.sec.gov/Archives/edgar/data/1031308/000155837020010811/bsy-20200821xex10d2.htm" TargetMode="External"/><Relationship Id="rId960" Type="http://schemas.openxmlformats.org/officeDocument/2006/relationships/hyperlink" Target="http://www.sec.gov/Archives/edgar/data/1031308/000155837020010811/bsy-20200821xex10d3.htm" TargetMode="External"/><Relationship Id="rId961" Type="http://schemas.openxmlformats.org/officeDocument/2006/relationships/hyperlink" Target="http://www.sec.gov/Archives/edgar/data/1031308/000155837020011058/bsy-20200908xex10d4.htm" TargetMode="External"/><Relationship Id="rId962" Type="http://schemas.openxmlformats.org/officeDocument/2006/relationships/hyperlink" Target="http://www.sec.gov/Archives/edgar/data/1031308/000155837020010811/bsy-20200821xex10d6.htm" TargetMode="External"/><Relationship Id="rId963" Type="http://schemas.openxmlformats.org/officeDocument/2006/relationships/hyperlink" Target="http://www.sec.gov/Archives/edgar/data/1031308/000155837020011058/bsy-20200908xex10d6.htm" TargetMode="External"/><Relationship Id="rId964" Type="http://schemas.openxmlformats.org/officeDocument/2006/relationships/hyperlink" Target="http://www.sec.gov/Archives/edgar/data/1031308/000155837020011058/bsy-20200908xex10d7.htm" TargetMode="External"/><Relationship Id="rId965" Type="http://schemas.openxmlformats.org/officeDocument/2006/relationships/hyperlink" Target="http://www.sec.gov/Archives/edgar/data/1031308/000155837020011058/bsy-20200908xex10d8.htm" TargetMode="External"/><Relationship Id="rId966" Type="http://schemas.openxmlformats.org/officeDocument/2006/relationships/hyperlink" Target="http://www.sec.gov/Archives/edgar/data/1031308/000155837020011058/bsy-20200908xex10d9.htm" TargetMode="External"/><Relationship Id="rId967" Type="http://schemas.openxmlformats.org/officeDocument/2006/relationships/hyperlink" Target="http://www.sec.gov/Archives/edgar/data/1031308/000155837020011058/bsy-20200908xex10d10.htm" TargetMode="External"/><Relationship Id="rId968" Type="http://schemas.openxmlformats.org/officeDocument/2006/relationships/hyperlink" Target="http://www.sec.gov/Archives/edgar/data/1031308/000155837020011058/bsy-20200908xex21d1.htm" TargetMode="External"/><Relationship Id="rId969" Type="http://schemas.openxmlformats.org/officeDocument/2006/relationships/hyperlink" Target="http://www.sec.gov/Archives/edgar/data/1031308/000155837020010811/bsy-20200821xex23d3.htm" TargetMode="External"/><Relationship Id="rId970" Type="http://schemas.openxmlformats.org/officeDocument/2006/relationships/hyperlink" Target="http://www.sec.gov/Archives/edgar/data/1031308/000155837020010811/bsy-20200821xex23d4.htm" TargetMode="External"/><Relationship Id="rId971" Type="http://schemas.openxmlformats.org/officeDocument/2006/relationships/hyperlink" Target="http://www.sec.gov/Archives/edgar/data/1031308/000155837020010811/bsy-20200821xs1.htm#POWEROFATTORNEY_5663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2020-09-22T05:42:45Z</dcterms:created>
  <dcterms:modified xsi:type="dcterms:W3CDTF">2020-09-22T05:42:45Z</dcterms:modified>
</cp:coreProperties>
</file>