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00"/>
        <w:ind w:left="0" w:right="0" w:firstLine="36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45"/>
        <w:gridCol w:w="302"/>
        <w:gridCol w:w="305"/>
        <w:gridCol w:w="2706"/>
        <w:gridCol w:w="2706"/>
        <w:gridCol w:w="3841"/>
      </w:tblGrid>
      <w:tr>
        <w:trPr/>
        <w:tc>
          <w:tcPr>
            <w:tcW w:w="345"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270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(Mark One)</w:t>
            </w:r>
          </w:p>
        </w:tc>
        <w:tc>
          <w:tcPr>
            <w:tcW w:w="9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18"/>
              </w:rPr>
            </w:pPr>
            <w:r>
              <w:rPr>
                <w:rFonts w:ascii="Times New Roman;serif" w:hAnsi="Times New Roman;serif"/>
                <w:b/>
                <w:color w:val="000000"/>
                <w:sz w:val="18"/>
              </w:rPr>
              <w:t>For the quarterly period ended June 30, 2025</w:t>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OR</w:t>
            </w:r>
          </w:p>
        </w:tc>
      </w:tr>
      <w:tr>
        <w:trPr/>
        <w:tc>
          <w:tcPr>
            <w:tcW w:w="952" w:type="dxa"/>
            <w:gridSpan w:val="3"/>
            <w:tcBorders/>
            <w:tcMar>
              <w:top w:w="0" w:type="dxa"/>
              <w:left w:w="0" w:type="dxa"/>
              <w:bottom w:w="0" w:type="dxa"/>
              <w:right w:w="0" w:type="dxa"/>
            </w:tcMar>
            <w:vAlign w:val="center"/>
          </w:tcPr>
          <w:p>
            <w:pPr>
              <w:pStyle w:val="TableContents"/>
              <w:bidi w:val="0"/>
              <w:spacing w:lineRule="auto" w:line="276" w:before="0" w:after="0"/>
              <w:jc w:val="center"/>
              <w:rPr>
                <w:color w:val="000000"/>
              </w:rPr>
            </w:pPr>
            <w:r>
              <w:rPr>
                <w:color w:val="000000"/>
              </w:rPr>
              <w:t>☐</w:t>
            </w:r>
          </w:p>
        </w:tc>
        <w:tc>
          <w:tcPr>
            <w:tcW w:w="925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8"/>
              </w:rPr>
            </w:pPr>
            <w:r>
              <w:rPr>
                <w:rFonts w:ascii="Times New Roman;serif" w:hAnsi="Times New Roman;serif"/>
                <w:b/>
                <w:color w:val="000000"/>
                <w:sz w:val="18"/>
              </w:rPr>
              <w:t>For the transition period from              to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Number: 001-39548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BENTLEY SYSTEMS, INCORPORATED</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7286" w:type="dxa"/>
        <w:jc w:val="center"/>
        <w:tblInd w:w="0" w:type="dxa"/>
        <w:tblLayout w:type="fixed"/>
        <w:tblCellMar>
          <w:top w:w="28" w:type="dxa"/>
          <w:left w:w="28" w:type="dxa"/>
          <w:bottom w:w="28" w:type="dxa"/>
          <w:right w:w="28" w:type="dxa"/>
        </w:tblCellMar>
      </w:tblPr>
      <w:tblGrid>
        <w:gridCol w:w="1549"/>
        <w:gridCol w:w="1364"/>
        <w:gridCol w:w="1376"/>
        <w:gridCol w:w="109"/>
        <w:gridCol w:w="109"/>
        <w:gridCol w:w="109"/>
        <w:gridCol w:w="778"/>
        <w:gridCol w:w="778"/>
        <w:gridCol w:w="1114"/>
      </w:tblGrid>
      <w:tr>
        <w:trPr/>
        <w:tc>
          <w:tcPr>
            <w:tcW w:w="1549"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18"/>
              </w:rPr>
            </w:pPr>
            <w:r>
              <w:rPr>
                <w:rFonts w:ascii="Times New Roman;serif" w:hAnsi="Times New Roman;serif"/>
                <w:b/>
                <w:color w:val="000000"/>
                <w:sz w:val="18"/>
              </w:rPr>
              <w:t>95-3936623</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685 Stockton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Exton,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19341</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val="false"/>
          <w:color w:val="000000"/>
          <w:sz w:val="16"/>
        </w:rPr>
        <w:t>Registrant’s telephone number, including area code:</w:t>
      </w:r>
      <w:r>
        <w:rPr>
          <w:color w:val="000000"/>
        </w:rPr>
        <w:t xml:space="preserve"> </w:t>
      </w:r>
      <w:r>
        <w:rPr>
          <w:rFonts w:ascii="Times New Roman;serif" w:hAnsi="Times New Roman;serif"/>
          <w:b/>
          <w:color w:val="000000"/>
          <w:sz w:val="18"/>
        </w:rPr>
        <w:t>(610) 458-5000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p>
      <w:pPr>
        <w:pStyle w:val="TextBody"/>
        <w:bidi w:val="0"/>
        <w:spacing w:before="0" w:after="0"/>
        <w:ind w:left="0" w:right="0" w:firstLine="360"/>
        <w:jc w:val="left"/>
        <w:rPr/>
      </w:pPr>
      <w:r>
        <w:rPr/>
      </w:r>
    </w:p>
    <w:tbl>
      <w:tblPr>
        <w:tblW w:w="8198" w:type="dxa"/>
        <w:jc w:val="center"/>
        <w:tblInd w:w="0" w:type="dxa"/>
        <w:tblLayout w:type="fixed"/>
        <w:tblCellMar>
          <w:top w:w="28" w:type="dxa"/>
          <w:left w:w="28" w:type="dxa"/>
          <w:bottom w:w="28" w:type="dxa"/>
          <w:right w:w="28" w:type="dxa"/>
        </w:tblCellMar>
      </w:tblPr>
      <w:tblGrid>
        <w:gridCol w:w="1115"/>
        <w:gridCol w:w="973"/>
        <w:gridCol w:w="987"/>
        <w:gridCol w:w="109"/>
        <w:gridCol w:w="109"/>
        <w:gridCol w:w="109"/>
        <w:gridCol w:w="414"/>
        <w:gridCol w:w="414"/>
        <w:gridCol w:w="416"/>
        <w:gridCol w:w="109"/>
        <w:gridCol w:w="109"/>
        <w:gridCol w:w="109"/>
        <w:gridCol w:w="945"/>
        <w:gridCol w:w="945"/>
        <w:gridCol w:w="1335"/>
      </w:tblGrid>
      <w:tr>
        <w:trPr/>
        <w:tc>
          <w:tcPr>
            <w:tcW w:w="1115"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07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w:t>
        <w:noBreakHyphen/>
        <w:t>T (§232.405 of this chapter) during the preceding 12 months (or for such shorter period that the registrant was required to submit such files). Yes ☒  No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Exchange Act.</w:t>
      </w:r>
    </w:p>
    <w:tbl>
      <w:tblPr>
        <w:tblW w:w="4184" w:type="dxa"/>
        <w:jc w:val="center"/>
        <w:tblInd w:w="0" w:type="dxa"/>
        <w:tblLayout w:type="fixed"/>
        <w:tblCellMar>
          <w:top w:w="28" w:type="dxa"/>
          <w:left w:w="28" w:type="dxa"/>
          <w:bottom w:w="28" w:type="dxa"/>
          <w:right w:w="28" w:type="dxa"/>
        </w:tblCellMar>
      </w:tblPr>
      <w:tblGrid>
        <w:gridCol w:w="674"/>
        <w:gridCol w:w="592"/>
        <w:gridCol w:w="594"/>
        <w:gridCol w:w="679"/>
        <w:gridCol w:w="679"/>
        <w:gridCol w:w="966"/>
      </w:tblGrid>
      <w:tr>
        <w:trPr/>
        <w:tc>
          <w:tcPr>
            <w:tcW w:w="67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Smaller reporting company </w:t>
            </w:r>
            <w:r>
              <w:rPr>
                <w:color w:val="000000"/>
              </w:rPr>
              <w:t>☐</w:t>
            </w:r>
          </w:p>
        </w:tc>
      </w:tr>
      <w:tr>
        <w:trPr/>
        <w:tc>
          <w:tcPr>
            <w:tcW w:w="1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6"/>
              </w:rPr>
              <w:t xml:space="preserve">Emerging growth company </w:t>
            </w:r>
            <w:r>
              <w:rPr>
                <w:color w:val="000000"/>
              </w:rPr>
              <w:t>☐</w:t>
            </w:r>
          </w:p>
        </w:tc>
      </w:tr>
    </w:tbl>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w:t>
        <w:noBreakHyphen/>
        <w:t>2 of the Exchange Act). Yes ☐  No ☒</w:t>
      </w:r>
    </w:p>
    <w:p>
      <w:pPr>
        <w:pStyle w:val="TextBody"/>
        <w:bidi w:val="0"/>
        <w:spacing w:before="0" w:after="0"/>
        <w:ind w:left="0" w:right="0" w:firstLine="36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As of July 30, 2025, the registrant had 11,537,627 shares of Class A and 292,093,306 shares of Class B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ind w:left="0" w:right="0" w:firstLine="36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ind w:left="0" w:right="0" w:firstLine="360"/>
                        <w:jc w:val="both"/>
                        <w:rPr/>
                      </w:pPr>
                      <w:r>
                        <w:rPr/>
                      </w:r>
                    </w:p>
                  </w:txbxContent>
                </v:textbox>
                <w10:wrap type="none"/>
              </v:rect>
            </w:pict>
          </mc:Fallback>
        </mc:AlternateContent>
      </w:r>
    </w:p>
    <w:p>
      <w:pPr>
        <w:pStyle w:val="TextBody"/>
        <w:bidi w:val="0"/>
        <w:spacing w:before="0" w:after="200"/>
        <w:ind w:left="0" w:right="0" w:firstLine="360"/>
        <w:jc w:val="both"/>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center"/>
        <w:rPr/>
      </w:pPr>
      <w:r>
        <w:rPr/>
      </w:r>
    </w:p>
    <w:tbl>
      <w:tblPr>
        <w:tblW w:w="8877" w:type="dxa"/>
        <w:jc w:val="center"/>
        <w:tblInd w:w="0" w:type="dxa"/>
        <w:tblLayout w:type="fixed"/>
        <w:tblCellMar>
          <w:top w:w="28" w:type="dxa"/>
          <w:left w:w="28" w:type="dxa"/>
          <w:bottom w:w="28" w:type="dxa"/>
          <w:right w:w="28" w:type="dxa"/>
        </w:tblCellMar>
      </w:tblPr>
      <w:tblGrid>
        <w:gridCol w:w="2889"/>
        <w:gridCol w:w="2543"/>
        <w:gridCol w:w="2547"/>
        <w:gridCol w:w="109"/>
        <w:gridCol w:w="109"/>
        <w:gridCol w:w="109"/>
        <w:gridCol w:w="167"/>
        <w:gridCol w:w="167"/>
        <w:gridCol w:w="237"/>
      </w:tblGrid>
      <w:tr>
        <w:trPr/>
        <w:tc>
          <w:tcPr>
            <w:tcW w:w="2889" w:type="dxa"/>
            <w:tcBorders/>
            <w:vAlign w:val="center"/>
          </w:tcPr>
          <w:p>
            <w:pPr>
              <w:pStyle w:val="TableContents"/>
              <w:bidi w:val="0"/>
              <w:spacing w:before="0" w:after="283"/>
              <w:jc w:val="left"/>
              <w:rPr>
                <w:sz w:val="4"/>
                <w:szCs w:val="4"/>
              </w:rPr>
            </w:pPr>
            <w:r>
              <w:rPr>
                <w:sz w:val="4"/>
                <w:szCs w:val="4"/>
              </w:rPr>
            </w:r>
          </w:p>
        </w:tc>
        <w:tc>
          <w:tcPr>
            <w:tcW w:w="2543" w:type="dxa"/>
            <w:tcBorders/>
            <w:vAlign w:val="center"/>
          </w:tcPr>
          <w:p>
            <w:pPr>
              <w:pStyle w:val="TableContents"/>
              <w:bidi w:val="0"/>
              <w:spacing w:before="0" w:after="283"/>
              <w:jc w:val="left"/>
              <w:rPr>
                <w:sz w:val="4"/>
                <w:szCs w:val="4"/>
              </w:rPr>
            </w:pPr>
            <w:r>
              <w:rPr>
                <w:sz w:val="4"/>
                <w:szCs w:val="4"/>
              </w:rPr>
            </w:r>
          </w:p>
        </w:tc>
        <w:tc>
          <w:tcPr>
            <w:tcW w:w="2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19">
              <w:r>
                <w:rPr>
                  <w:rStyle w:val="InternetLink"/>
                  <w:rFonts w:ascii="Times New Roman;serif" w:hAnsi="Times New Roman;serif"/>
                  <w:b w:val="false"/>
                  <w:color w:val="0000FF"/>
                  <w:sz w:val="20"/>
                  <w:u w:val="single"/>
                </w:rPr>
                <w:t>PART I.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19">
              <w:r>
                <w:rPr>
                  <w:rStyle w:val="InternetLink"/>
                  <w:rFonts w:ascii="Times New Roman;serif" w:hAnsi="Times New Roman;serif"/>
                  <w:b w:val="false"/>
                  <w:color w:val="0000FF"/>
                  <w:sz w:val="20"/>
                  <w:u w:val="single"/>
                </w:rPr>
                <w:t>Item 1. Unaudited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19">
              <w:r>
                <w:rPr>
                  <w:rStyle w:val="InternetLink"/>
                  <w:rFonts w:ascii="Times New Roman;serif" w:hAnsi="Times New Roman;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19">
              <w:r>
                <w:rPr>
                  <w:rStyle w:val="InternetLink"/>
                  <w:rFonts w:ascii="Times New Roman;serif" w:hAnsi="Times New Roman;serif"/>
                  <w:b w:val="false"/>
                  <w:color w:val="0000FF"/>
                  <w:sz w:val="20"/>
                  <w:u w:val="single"/>
                </w:rPr>
                <w:t>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22">
              <w:r>
                <w:rPr>
                  <w:rStyle w:val="InternetLink"/>
                  <w:rFonts w:ascii="Times New Roman;serif" w:hAnsi="Times New Roman;serif"/>
                  <w:b w:val="false"/>
                  <w:color w:val="0000FF"/>
                  <w:sz w:val="20"/>
                  <w:u w:val="single"/>
                </w:rPr>
                <w:t>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22">
              <w:r>
                <w:rPr>
                  <w:rStyle w:val="InternetLink"/>
                  <w:rFonts w:ascii="Times New Roman;serif" w:hAnsi="Times New Roman;serif"/>
                  <w:b w:val="false"/>
                  <w:color w:val="0000FF"/>
                  <w:sz w:val="20"/>
                  <w:u w:val="single"/>
                </w:rPr>
                <w:t>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28">
              <w:r>
                <w:rPr>
                  <w:rStyle w:val="InternetLink"/>
                  <w:rFonts w:ascii="Times New Roman;serif" w:hAnsi="Times New Roman;serif"/>
                  <w:b w:val="false"/>
                  <w:color w:val="0000FF"/>
                  <w:sz w:val="20"/>
                  <w:u w:val="single"/>
                </w:rPr>
                <w:t>Consolidated Statements of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28">
              <w:r>
                <w:rPr>
                  <w:rStyle w:val="InternetLink"/>
                  <w:rFonts w:ascii="Times New Roman;serif" w:hAnsi="Times New Roman;serif"/>
                  <w:b w:val="false"/>
                  <w:color w:val="0000FF"/>
                  <w:sz w:val="20"/>
                  <w:u w:val="single"/>
                </w:rPr>
                <w:t>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34">
              <w:r>
                <w:rPr>
                  <w:rStyle w:val="InternetLink"/>
                  <w:rFonts w:ascii="Times New Roman;serif" w:hAnsi="Times New Roman;serif"/>
                  <w:b w:val="false"/>
                  <w:color w:val="0000FF"/>
                  <w:sz w:val="20"/>
                  <w:u w:val="single"/>
                </w:rPr>
                <w:t>Consolidated Statements of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4">
              <w:r>
                <w:rPr>
                  <w:rStyle w:val="InternetLink"/>
                  <w:rFonts w:ascii="Times New Roman;serif" w:hAnsi="Times New Roman;serif"/>
                  <w:b w:val="false"/>
                  <w:color w:val="0000FF"/>
                  <w:sz w:val="20"/>
                  <w:u w:val="single"/>
                </w:rPr>
                <w:t>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40">
              <w:r>
                <w:rPr>
                  <w:rStyle w:val="InternetLink"/>
                  <w:rFonts w:ascii="Times New Roman;serif" w:hAnsi="Times New Roman;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40">
              <w:r>
                <w:rPr>
                  <w:rStyle w:val="InternetLink"/>
                  <w:rFonts w:ascii="Times New Roman;serif" w:hAnsi="Times New Roman;serif"/>
                  <w:b w:val="false"/>
                  <w:color w:val="0000FF"/>
                  <w:sz w:val="20"/>
                  <w:u w:val="single"/>
                </w:rPr>
                <w:t>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49">
              <w:r>
                <w:rPr>
                  <w:rStyle w:val="InternetLink"/>
                  <w:rFonts w:ascii="Times New Roman;serif" w:hAnsi="Times New Roman;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49">
              <w:r>
                <w:rPr>
                  <w:rStyle w:val="InternetLink"/>
                  <w:rFonts w:ascii="Times New Roman;serif" w:hAnsi="Times New Roman;serif"/>
                  <w:b w:val="false"/>
                  <w:color w:val="0000FF"/>
                  <w:sz w:val="20"/>
                  <w:u w:val="single"/>
                </w:rPr>
                <w:t>11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376">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376">
              <w:r>
                <w:rPr>
                  <w:rStyle w:val="InternetLink"/>
                  <w:rFonts w:ascii="Times New Roman;serif" w:hAnsi="Times New Roman;serif"/>
                  <w:b w:val="false"/>
                  <w:color w:val="0000FF"/>
                  <w:sz w:val="20"/>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68">
              <w:r>
                <w:rPr>
                  <w:rStyle w:val="InternetLink"/>
                  <w:rFonts w:ascii="Times New Roman;serif" w:hAnsi="Times New Roman;serif"/>
                  <w:b w:val="false"/>
                  <w:color w:val="0000FF"/>
                  <w:sz w:val="20"/>
                  <w:u w:val="single"/>
                </w:rPr>
                <w:t>Item 3.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68">
              <w:r>
                <w:rPr>
                  <w:rStyle w:val="InternetLink"/>
                  <w:rFonts w:ascii="Times New Roman;serif" w:hAnsi="Times New Roman;serif"/>
                  <w:b w:val="false"/>
                  <w:color w:val="0000FF"/>
                  <w:sz w:val="20"/>
                  <w:u w:val="single"/>
                </w:rPr>
                <w:t>45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74">
              <w:r>
                <w:rPr>
                  <w:rStyle w:val="InternetLink"/>
                  <w:rFonts w:ascii="Times New Roman;serif" w:hAnsi="Times New Roman;serif"/>
                  <w:b w:val="false"/>
                  <w:color w:val="0000FF"/>
                  <w:sz w:val="20"/>
                  <w:u w:val="single"/>
                </w:rPr>
                <w:t>Item 4.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74">
              <w:r>
                <w:rPr>
                  <w:rStyle w:val="InternetLink"/>
                  <w:rFonts w:ascii="Times New Roman;serif" w:hAnsi="Times New Roman;serif"/>
                  <w:b w:val="false"/>
                  <w:color w:val="0000FF"/>
                  <w:sz w:val="20"/>
                  <w:u w:val="single"/>
                </w:rPr>
                <w:t>46</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577">
              <w:r>
                <w:rPr>
                  <w:rStyle w:val="InternetLink"/>
                  <w:rFonts w:ascii="Times New Roman;serif" w:hAnsi="Times New Roman;serif"/>
                  <w:b w:val="false"/>
                  <w:color w:val="0000FF"/>
                  <w:sz w:val="20"/>
                  <w:u w:val="single"/>
                </w:rPr>
                <w:t>PART II.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77">
              <w:r>
                <w:rPr>
                  <w:rStyle w:val="InternetLink"/>
                  <w:rFonts w:ascii="Times New Roman;serif" w:hAnsi="Times New Roman;serif"/>
                  <w:b w:val="false"/>
                  <w:color w:val="0000FF"/>
                  <w:sz w:val="20"/>
                  <w:u w:val="single"/>
                </w:rPr>
                <w:t>Item 1.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77">
              <w:r>
                <w:rPr>
                  <w:rStyle w:val="InternetLink"/>
                  <w:rFonts w:ascii="Times New Roman;serif" w:hAnsi="Times New Roman;serif"/>
                  <w:b w:val="false"/>
                  <w:color w:val="0000FF"/>
                  <w:sz w:val="20"/>
                  <w:u w:val="single"/>
                </w:rPr>
                <w:t>47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80">
              <w:r>
                <w:rPr>
                  <w:rStyle w:val="InternetLink"/>
                  <w:rFonts w:ascii="Times New Roman;serif" w:hAnsi="Times New Roman;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80">
              <w:r>
                <w:rPr>
                  <w:rStyle w:val="InternetLink"/>
                  <w:rFonts w:ascii="Times New Roman;serif" w:hAnsi="Times New Roman;serif"/>
                  <w:b w:val="false"/>
                  <w:color w:val="0000FF"/>
                  <w:sz w:val="20"/>
                  <w:u w:val="single"/>
                </w:rPr>
                <w:t>47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433565b9411143479ae8d9a724c53b68_586">
              <w:r>
                <w:rPr>
                  <w:rStyle w:val="InternetLink"/>
                  <w:rFonts w:ascii="Times New Roman;serif" w:hAnsi="Times New Roman;serif"/>
                  <w:b w:val="false"/>
                  <w:color w:val="0000FF"/>
                  <w:sz w:val="20"/>
                  <w:u w:val="single"/>
                </w:rPr>
                <w:t>Item 2. Unregistered Sales of Equity Securities and Use of Proceeds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86">
              <w:r>
                <w:rPr>
                  <w:rStyle w:val="InternetLink"/>
                  <w:rFonts w:ascii="Times New Roman;serif" w:hAnsi="Times New Roman;serif"/>
                  <w:b w:val="false"/>
                  <w:color w:val="0000FF"/>
                  <w:sz w:val="20"/>
                  <w:u w:val="single"/>
                </w:rPr>
                <w:t>47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592">
              <w:r>
                <w:rPr>
                  <w:rStyle w:val="InternetLink"/>
                  <w:rFonts w:ascii="Times New Roman;serif" w:hAnsi="Times New Roman;serif"/>
                  <w:b w:val="false"/>
                  <w:color w:val="0000FF"/>
                  <w:sz w:val="20"/>
                  <w:u w:val="single"/>
                </w:rPr>
                <w:t>Item 5.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592">
              <w:r>
                <w:rPr>
                  <w:rStyle w:val="InternetLink"/>
                  <w:rFonts w:ascii="Times New Roman;serif" w:hAnsi="Times New Roman;serif"/>
                  <w:b w:val="false"/>
                  <w:color w:val="0000FF"/>
                  <w:sz w:val="20"/>
                  <w:u w:val="singl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33565b9411143479ae8d9a724c53b68_601">
              <w:r>
                <w:rPr>
                  <w:rStyle w:val="InternetLink"/>
                  <w:rFonts w:ascii="Times New Roman;serif" w:hAnsi="Times New Roman;serif"/>
                  <w:b w:val="false"/>
                  <w:color w:val="0000FF"/>
                  <w:sz w:val="20"/>
                  <w:u w:val="single"/>
                </w:rPr>
                <w:t>Item 6.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601">
              <w:r>
                <w:rPr>
                  <w:rStyle w:val="InternetLink"/>
                  <w:rFonts w:ascii="Times New Roman;serif" w:hAnsi="Times New Roman;serif"/>
                  <w:b w:val="false"/>
                  <w:color w:val="0000FF"/>
                  <w:sz w:val="20"/>
                  <w:u w:val="singl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3565b9411143479ae8d9a724c53b68_604">
              <w:r>
                <w:rPr>
                  <w:rStyle w:val="InternetLink"/>
                  <w:rFonts w:ascii="Times New Roman;serif" w:hAnsi="Times New Roman;serif"/>
                  <w:b w:val="false"/>
                  <w:color w:val="0000FF"/>
                  <w:sz w:val="20"/>
                  <w:u w:val="single"/>
                </w:rPr>
                <w:t>SIGNATURE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33565b9411143479ae8d9a724c53b68_604">
              <w:r>
                <w:rPr>
                  <w:rStyle w:val="InternetLink"/>
                  <w:rFonts w:ascii="Times New Roman;serif" w:hAnsi="Times New Roman;serif"/>
                  <w:b w:val="false"/>
                  <w:color w:val="0000FF"/>
                  <w:sz w:val="20"/>
                  <w:u w:val="single"/>
                </w:rPr>
                <w:t>49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is for the three and six months ended June 30, 2025. This Quarterly Report on Form 10</w:t>
        <w:noBreakHyphen/>
        <w:t>Q modifies and supersedes documents filed before it. The United States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w:t>
        <w:noBreakHyphen/>
        <w:t>Q. In addition, information that we file with the SEC in the future will automatically update and supersede information contained in this Quarterly Report on Form 10</w:t>
        <w:noBreakHyphen/>
        <w:t>Q.</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indicated otherwise, throughout this Quarterly Report on Form 10</w:t>
        <w:noBreakHyphen/>
        <w:t>Q, we refer to Bentley Systems, Incorporated and its consolidated subsidiaries, as “Bentley Systems,” “Bentley,” the “Company,” “we,” “us,” and “our.”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contains trademarks, service marks, brands, or product names owned by us, as well as those owned by others.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Numerical information in this report is presented on a rounded basis using actual amounts. Minor differences in totals and percentage calculations may exist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w:t>
        <w:noBreakHyphen/>
        <w:t>Q includes forward</w:t>
        <w:noBreakHyphen/>
        <w:t>looking statements. All statements contained in this Quarterly Report on Form 10</w:t>
        <w:noBreakHyphen/>
        <w:t>Q other than statements of historical facts, including statements regarding our future results of operations and financial condition, our business strategy, and plans and our objectives for future operations, are forward</w:t>
        <w:noBreakHyphen/>
        <w:t>looking statements. The words “believe,” “may,” “will,” “could,” “would,” “seeks,” “estimate,” “continue,” “anticipate,” “intend,” “expect,” and similar expressions, as well as statements regarding our focus for the future, are intended to identify forward</w:t>
        <w:noBreakHyphen/>
        <w:t>looking statements. We have based these forward</w:t>
        <w:noBreakHyphen/>
        <w:t>looking statements largely on our current expectations, projections, and assumptions about future events and financial trends that we believe may affect our financial condition, results of operations, business strategy, short</w:t>
        <w:noBreakHyphen/>
        <w:t>term and long</w:t>
        <w:noBreakHyphen/>
        <w:t>term business operations and objectives, and financial needs. These forward</w:t>
        <w:noBreakHyphen/>
        <w:t>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noBreakHyphen/>
        <w:t>looking statements we may make. In light of these risks, uncertainties, and assumptions, the future events and trends discussed in this Quarterly Report on Form 10</w:t>
        <w:noBreakHyphen/>
        <w:t>Q may not occur and actual results could differ materially and adversely from those anticipated or implied in the forward</w:t>
        <w:noBreakHyphen/>
        <w:t>looking statements. The forward</w:t>
        <w:noBreakHyphen/>
        <w:t>looking statements, as well as our Quarterly Report on Form 10</w:t>
        <w:noBreakHyphen/>
        <w:t>Q as a whole, are subject to risks and uncertainties.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w:t>
        <w:noBreakHyphen/>
        <w:t>looking statements. We discuss many of these risks in this Quarterly Report on Form 10</w:t>
        <w:noBreakHyphen/>
        <w:t>Q in greater detail in the section titled “Risk Factors” and elsewhere in this Quarterly Report on Form 10</w:t>
        <w:noBreakHyphen/>
        <w:t>Q. You should not rely upon forward</w:t>
        <w:noBreakHyphen/>
        <w:t>looking statements as predictions of future events.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Although we believe that the expectations reflected in the forward</w:t>
        <w:noBreakHyphen/>
        <w:t>looking statements are reasonable, we cannot guarantee future results, levels of activity, performance, achievements, events, or circumstances reflected in the forward</w:t>
        <w:noBreakHyphen/>
        <w:t>looking statements will occur. Except as required by law, we undertake no obligation to update any of these forward</w:t>
        <w:noBreakHyphen/>
        <w:t>looking statements after the date of this Quarterly Report on Form 10</w:t>
        <w:noBreakHyphen/>
        <w:t>Q to conform these statements to actual results or revised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Unaudited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BENTLEY SYSTEMS, INCORPORATED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data)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00"/>
        <w:gridCol w:w="2114"/>
        <w:gridCol w:w="2094"/>
        <w:gridCol w:w="109"/>
        <w:gridCol w:w="109"/>
        <w:gridCol w:w="109"/>
        <w:gridCol w:w="196"/>
        <w:gridCol w:w="871"/>
        <w:gridCol w:w="109"/>
        <w:gridCol w:w="109"/>
        <w:gridCol w:w="109"/>
        <w:gridCol w:w="109"/>
        <w:gridCol w:w="219"/>
        <w:gridCol w:w="973"/>
        <w:gridCol w:w="175"/>
      </w:tblGrid>
      <w:tr>
        <w:trPr/>
        <w:tc>
          <w:tcPr>
            <w:tcW w:w="2800"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64,009 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322,862 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Allowance for doubtful accounts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50,531 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439,522 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442,073 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33,798 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32,303 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213,959 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2,416,815 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2,367,179 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25,764 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86,445 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3,399,807 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16,479 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Accruals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Cloud Services Subscription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366,895 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245,729 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814,334 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1,245,843 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1,388,088 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plan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96,684 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26,894 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2,261,114 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2,358,687 </w:t>
            </w:r>
          </w:p>
        </w:tc>
        <w:tc>
          <w:tcPr>
            <w:tcW w:w="1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authorized 100,000,000 shares; none issued or outstanding as of June 30, 2025 and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A common stock, $0.01 par value, authorized 100,000,000 shares; issued and outstanding 11,537,627 shares as of June 30, 2025 and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Class B common stock, $0.01 par value, authorized 1,800,000,000 shares; issued and outstanding 291,900,445 and 290,439,703 shares as of June 30, 2025 and December 31, 2024,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1,259,476 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1,217,986 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(104,078)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(75,941)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Bentley Systems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1,040,987 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1,041,120 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3,423,284 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3,399,807 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64"/>
        <w:gridCol w:w="1149"/>
        <w:gridCol w:w="1158"/>
        <w:gridCol w:w="109"/>
        <w:gridCol w:w="109"/>
        <w:gridCol w:w="109"/>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5"/>
      </w:tblGrid>
      <w:tr>
        <w:trPr/>
        <w:tc>
          <w:tcPr>
            <w:tcW w:w="1364"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604,533 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125,023 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267,144 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134,080 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169,905 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Equity in net income of investees,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 average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314,622,491 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314,980,580 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314,894,050 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314,660,906 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332,824,020 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333,780,984 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333,150,282 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333,725,315 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Income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35"/>
        <w:gridCol w:w="1414"/>
        <w:gridCol w:w="1428"/>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63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 net of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Actuarial loss on retirement plan, net of tax effect of $(8), $0, $(16), and $(28),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net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134,079 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income (loss)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Bentley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134,079 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1754" w:type="dxa"/>
        <w:jc w:val="center"/>
        <w:tblInd w:w="0" w:type="dxa"/>
        <w:tblLayout w:type="fixed"/>
        <w:tblCellMar>
          <w:top w:w="28" w:type="dxa"/>
          <w:left w:w="28" w:type="dxa"/>
          <w:bottom w:w="28" w:type="dxa"/>
          <w:right w:w="28" w:type="dxa"/>
        </w:tblCellMar>
      </w:tblPr>
      <w:tblGrid>
        <w:gridCol w:w="677"/>
        <w:gridCol w:w="268"/>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196"/>
        <w:gridCol w:w="661"/>
        <w:gridCol w:w="109"/>
        <w:gridCol w:w="109"/>
        <w:gridCol w:w="109"/>
        <w:gridCol w:w="109"/>
        <w:gridCol w:w="196"/>
        <w:gridCol w:w="871"/>
        <w:gridCol w:w="109"/>
        <w:gridCol w:w="109"/>
        <w:gridCol w:w="109"/>
        <w:gridCol w:w="109"/>
        <w:gridCol w:w="196"/>
        <w:gridCol w:w="421"/>
        <w:gridCol w:w="109"/>
        <w:gridCol w:w="109"/>
        <w:gridCol w:w="109"/>
        <w:gridCol w:w="109"/>
        <w:gridCol w:w="196"/>
        <w:gridCol w:w="871"/>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2025</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302,909,806 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1,239,817 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(97,583)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(47,681)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1,097,689 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883,626 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executive bonus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26,727 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104,465 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(499,143)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303,438,072 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1,259,476 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1,162,170 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844" w:type="dxa"/>
        <w:jc w:val="center"/>
        <w:tblInd w:w="0" w:type="dxa"/>
        <w:tblLayout w:type="fixed"/>
        <w:tblCellMar>
          <w:top w:w="28" w:type="dxa"/>
          <w:left w:w="28" w:type="dxa"/>
          <w:bottom w:w="28" w:type="dxa"/>
          <w:right w:w="28" w:type="dxa"/>
        </w:tblCellMar>
      </w:tblPr>
      <w:tblGrid>
        <w:gridCol w:w="720"/>
        <w:gridCol w:w="225"/>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751"/>
        <w:gridCol w:w="109"/>
        <w:gridCol w:w="109"/>
        <w:gridCol w:w="109"/>
        <w:gridCol w:w="109"/>
        <w:gridCol w:w="196"/>
        <w:gridCol w:w="661"/>
        <w:gridCol w:w="109"/>
        <w:gridCol w:w="109"/>
        <w:gridCol w:w="109"/>
        <w:gridCol w:w="109"/>
        <w:gridCol w:w="196"/>
        <w:gridCol w:w="871"/>
        <w:gridCol w:w="109"/>
        <w:gridCol w:w="109"/>
        <w:gridCol w:w="109"/>
        <w:gridCol w:w="109"/>
        <w:gridCol w:w="196"/>
        <w:gridCol w:w="421"/>
        <w:gridCol w:w="109"/>
        <w:gridCol w:w="109"/>
        <w:gridCol w:w="109"/>
        <w:gridCol w:w="109"/>
        <w:gridCol w:w="196"/>
        <w:gridCol w:w="871"/>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Six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301,977,330 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1,040,987 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1,041,120 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161,838 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34,991 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deferred compensation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1,572,829 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executive bonus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49,545 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130,212 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868,606 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(1,173,041)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2025</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303,438,072 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1,259,476 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1,162,041 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1,162,170 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11574" w:type="dxa"/>
        <w:jc w:val="center"/>
        <w:tblInd w:w="0" w:type="dxa"/>
        <w:tblLayout w:type="fixed"/>
        <w:tblCellMar>
          <w:top w:w="28" w:type="dxa"/>
          <w:left w:w="28" w:type="dxa"/>
          <w:bottom w:w="28" w:type="dxa"/>
          <w:right w:w="28" w:type="dxa"/>
        </w:tblCellMar>
      </w:tblPr>
      <w:tblGrid>
        <w:gridCol w:w="677"/>
        <w:gridCol w:w="268"/>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196"/>
        <w:gridCol w:w="751"/>
        <w:gridCol w:w="109"/>
        <w:gridCol w:w="109"/>
        <w:gridCol w:w="109"/>
        <w:gridCol w:w="109"/>
        <w:gridCol w:w="196"/>
        <w:gridCol w:w="736"/>
        <w:gridCol w:w="109"/>
        <w:gridCol w:w="109"/>
        <w:gridCol w:w="109"/>
        <w:gridCol w:w="109"/>
        <w:gridCol w:w="196"/>
        <w:gridCol w:w="421"/>
        <w:gridCol w:w="109"/>
        <w:gridCol w:w="109"/>
        <w:gridCol w:w="109"/>
        <w:gridCol w:w="109"/>
        <w:gridCol w:w="196"/>
        <w:gridCol w:w="736"/>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Three Months Ended June 30,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March 31, 2024</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298,014,682 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1,154,137 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(92,619)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(132,595)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931,903 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932,607 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Shares issued in connection with deferred compensation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1,936,318 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Shares issued in connection with executive bonus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102,352 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109,473 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(1,527)</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(427,083)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(22,509)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299,747,133 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984,506 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574" w:type="dxa"/>
        <w:jc w:val="center"/>
        <w:tblInd w:w="0" w:type="dxa"/>
        <w:tblLayout w:type="fixed"/>
        <w:tblCellMar>
          <w:top w:w="28" w:type="dxa"/>
          <w:left w:w="28" w:type="dxa"/>
          <w:bottom w:w="28" w:type="dxa"/>
          <w:right w:w="28" w:type="dxa"/>
        </w:tblCellMar>
      </w:tblPr>
      <w:tblGrid>
        <w:gridCol w:w="720"/>
        <w:gridCol w:w="225"/>
        <w:gridCol w:w="226"/>
        <w:gridCol w:w="525"/>
        <w:gridCol w:w="526"/>
        <w:gridCol w:w="151"/>
        <w:gridCol w:w="109"/>
        <w:gridCol w:w="109"/>
        <w:gridCol w:w="109"/>
        <w:gridCol w:w="196"/>
        <w:gridCol w:w="556"/>
        <w:gridCol w:w="109"/>
        <w:gridCol w:w="109"/>
        <w:gridCol w:w="109"/>
        <w:gridCol w:w="109"/>
        <w:gridCol w:w="196"/>
        <w:gridCol w:w="871"/>
        <w:gridCol w:w="109"/>
        <w:gridCol w:w="109"/>
        <w:gridCol w:w="109"/>
        <w:gridCol w:w="109"/>
        <w:gridCol w:w="196"/>
        <w:gridCol w:w="661"/>
        <w:gridCol w:w="109"/>
        <w:gridCol w:w="109"/>
        <w:gridCol w:w="109"/>
        <w:gridCol w:w="109"/>
        <w:gridCol w:w="196"/>
        <w:gridCol w:w="751"/>
        <w:gridCol w:w="109"/>
        <w:gridCol w:w="109"/>
        <w:gridCol w:w="109"/>
        <w:gridCol w:w="109"/>
        <w:gridCol w:w="196"/>
        <w:gridCol w:w="736"/>
        <w:gridCol w:w="109"/>
        <w:gridCol w:w="109"/>
        <w:gridCol w:w="109"/>
        <w:gridCol w:w="109"/>
        <w:gridCol w:w="196"/>
        <w:gridCol w:w="421"/>
        <w:gridCol w:w="109"/>
        <w:gridCol w:w="109"/>
        <w:gridCol w:w="109"/>
        <w:gridCol w:w="109"/>
        <w:gridCol w:w="196"/>
        <w:gridCol w:w="736"/>
        <w:gridCol w:w="154"/>
      </w:tblGrid>
      <w:tr>
        <w:trPr/>
        <w:tc>
          <w:tcPr>
            <w:tcW w:w="7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3"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Six Months Ended June 30, 2024</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Bentley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Class A and 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Additional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Non-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Paid-In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Comprehensive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Accumulated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Controlling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Total</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2"/>
              </w:rPr>
            </w:pPr>
            <w:r>
              <w:rPr>
                <w:rFonts w:ascii="Times New Roman;serif" w:hAnsi="Times New Roman;serif"/>
                <w:b/>
                <w:color w:val="000000"/>
                <w:sz w:val="12"/>
              </w:rPr>
              <w:t>Equity</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December 31, 2023</w:t>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296,265,837 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(84,987)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883,278 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883,982 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Shares issued in connection with deferred compensation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2,474,063 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plan elective participant deferrals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 xml:space="preserve">Shares issued in connection with executive bonus plan </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168,291 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Shares issued in connection with employee stock purchase plan,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122,020 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 option exercises, net</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844,283 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issued for stock grants,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11,391 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expense</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30,253 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Shares related to restricted stock, net</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590,929 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of Class B common stock under approved program</w:t>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(729,681)</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June 30, 2024</w:t>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299,747,133 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1,176,630 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(93,264)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(102,561)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983,802 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984,506 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9710" w:type="dxa"/>
        <w:jc w:val="center"/>
        <w:tblInd w:w="0" w:type="dxa"/>
        <w:tblLayout w:type="fixed"/>
        <w:tblCellMar>
          <w:top w:w="28" w:type="dxa"/>
          <w:left w:w="28" w:type="dxa"/>
          <w:bottom w:w="28" w:type="dxa"/>
          <w:right w:w="28" w:type="dxa"/>
        </w:tblCellMar>
      </w:tblPr>
      <w:tblGrid>
        <w:gridCol w:w="2431"/>
        <w:gridCol w:w="2141"/>
        <w:gridCol w:w="2147"/>
        <w:gridCol w:w="109"/>
        <w:gridCol w:w="109"/>
        <w:gridCol w:w="109"/>
        <w:gridCol w:w="211"/>
        <w:gridCol w:w="826"/>
        <w:gridCol w:w="109"/>
        <w:gridCol w:w="109"/>
        <w:gridCol w:w="109"/>
        <w:gridCol w:w="109"/>
        <w:gridCol w:w="211"/>
        <w:gridCol w:w="826"/>
        <w:gridCol w:w="154"/>
      </w:tblGrid>
      <w:tr>
        <w:trPr/>
        <w:tc>
          <w:tcPr>
            <w:tcW w:w="2431"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derivative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remeasurement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net of effect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accruals,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Cloud Services Subscription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 net of prepaid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and investment in capitalized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credit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credit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(371,404)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(143,752)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contingent and non-contingent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stock purchases under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for shares acquired including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Class B common stock under approved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(270,999)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Increase (decrease)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center"/>
        <w:rPr/>
      </w:pPr>
      <w:r>
        <w:rPr/>
      </w:r>
    </w:p>
    <w:tbl>
      <w:tblPr>
        <w:tblW w:w="7536" w:type="dxa"/>
        <w:jc w:val="center"/>
        <w:tblInd w:w="0" w:type="dxa"/>
        <w:tblLayout w:type="fixed"/>
        <w:tblCellMar>
          <w:top w:w="28" w:type="dxa"/>
          <w:left w:w="28" w:type="dxa"/>
          <w:bottom w:w="28" w:type="dxa"/>
          <w:right w:w="28" w:type="dxa"/>
        </w:tblCellMar>
      </w:tblPr>
      <w:tblGrid>
        <w:gridCol w:w="1721"/>
        <w:gridCol w:w="1515"/>
        <w:gridCol w:w="1519"/>
        <w:gridCol w:w="109"/>
        <w:gridCol w:w="109"/>
        <w:gridCol w:w="109"/>
        <w:gridCol w:w="211"/>
        <w:gridCol w:w="721"/>
        <w:gridCol w:w="109"/>
        <w:gridCol w:w="109"/>
        <w:gridCol w:w="109"/>
        <w:gridCol w:w="109"/>
        <w:gridCol w:w="211"/>
        <w:gridCol w:w="721"/>
        <w:gridCol w:w="154"/>
      </w:tblGrid>
      <w:tr>
        <w:trPr/>
        <w:tc>
          <w:tcPr>
            <w:tcW w:w="1721"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Share-settled executive bonus plan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elective participant deferrals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BENTLEY SYSTEMS, INCORPORATED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40"/>
        <w:jc w:val="center"/>
        <w:rPr/>
      </w:pPr>
      <w:r>
        <w:rPr/>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 Basis of Presentation and Significant Accounting Policies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accompanying unaudited consolidated financial statements include the accounts of the Company and its consolidated subsidiaries. The unaudited consolidated financial statements and accompanying notes have been prepared in U.S. dollars, and in accordance with U.S. generally accepted accounting principles (“GAAP”) and the rules and regulations of the SEC regarding interim financial reporting. Accordingly, they do not include all the information and notes required by GAAP for annual financial statements. These unaudited consolidated financial statements should be read in conjunction with the audited consolidated financial statements and notes thereto included in the Company’s 2024 Annual Report on Form 10</w:t>
      </w:r>
      <w:r>
        <w:rPr>
          <w:color w:val="000000"/>
        </w:rPr>
        <w:noBreakHyphen/>
      </w:r>
      <w:r>
        <w:rPr>
          <w:rFonts w:ascii="Times New Roman;serif" w:hAnsi="Times New Roman;serif"/>
          <w:b w:val="false"/>
          <w:color w:val="000000"/>
          <w:sz w:val="20"/>
        </w:rPr>
        <w:t>K. In management’s opinion, the accompanying unaudited consolidated financial statements contain all adjustments (consisting of normal, recurring and non-recurring adjustments) that were considered necessary for the fair statement of the Company’s financial position, results of operations, and cash flows as of the dates and for the periods indicated. The preparation of financial statements in conformity with GAAP requires management to make estimates and assumptions that affect reported amounts in the financial statements and accompanying notes. Actual results could differ materially from those estimates. The December 31, 2024 consolidated balance sheet included herein is derived from the Company’s audited consolidated financial statements.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Certain reclassifications of prior period amounts have been made to conform to the current period presentation.</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Accounting Policies</w:t>
      </w:r>
    </w:p>
    <w:p>
      <w:pPr>
        <w:pStyle w:val="TextBody"/>
        <w:bidi w:val="0"/>
        <w:spacing w:lineRule="auto" w:line="288" w:before="0" w:after="200"/>
        <w:ind w:left="0" w:right="0" w:firstLine="360"/>
        <w:jc w:val="both"/>
        <w:rPr/>
      </w:pPr>
      <w:r>
        <w:rPr>
          <w:rFonts w:ascii="Times New Roman;serif" w:hAnsi="Times New Roman;serif"/>
          <w:b/>
          <w:i/>
          <w:color w:val="000000"/>
          <w:sz w:val="20"/>
        </w:rPr>
        <w:t>Software Development Costs</w:t>
      </w:r>
      <w:r>
        <w:rPr>
          <w:color w:val="000000"/>
        </w:rPr>
        <w:t xml:space="preserve"> — </w:t>
      </w:r>
      <w:r>
        <w:rPr>
          <w:rFonts w:ascii="Times New Roman;serif" w:hAnsi="Times New Roman;serif"/>
          <w:b w:val="false"/>
          <w:color w:val="000000"/>
          <w:sz w:val="20"/>
        </w:rPr>
        <w:t>Under its Accelerated Commercial Development Program (“ACDP”) (the Company’s structured approach to an in</w:t>
        <w:noBreakHyphen/>
        <w:t xml:space="preserve">house business incubator function), the Company capitalizes certain development costs related to certain projects once technological feasibility is established. Total costs capitalized under the ACDP were $484 and $1,135 for the three months ended June 30, 2025 and 2024, respectively, and $806 and $2,434 for the six months ended June 30, 2025 and 2024, respectively. Additionally, total ACDP related amortization was $795 and $1,012 for the three months ended June 30, 2025 and 2024, respectively, and $1,550 and $1,661 for the six months ended June 30, 2025 and 2024, respectively, and is included in </w:t>
      </w:r>
      <w:r>
        <w:rPr>
          <w:rFonts w:ascii="Times New Roman;serif" w:hAnsi="Times New Roman;serif"/>
          <w:b w:val="false"/>
          <w:i/>
          <w:color w:val="000000"/>
          <w:sz w:val="20"/>
        </w:rPr>
        <w:t>Cost of subscriptions and licenses</w:t>
      </w:r>
      <w:r>
        <w:rPr>
          <w:color w:val="000000"/>
        </w:rPr>
        <w:t xml:space="preserve"> </w:t>
      </w:r>
      <w:r>
        <w:rPr>
          <w:rFonts w:ascii="Times New Roman;serif" w:hAnsi="Times New Roman;serif"/>
          <w:b w:val="false"/>
          <w:color w:val="000000"/>
          <w:sz w:val="20"/>
        </w:rPr>
        <w:t xml:space="preserve">in the consolidated statements of operations. As of June 30, 2025 and December 31, 2024, $13,215 and $12,961 of ACDP capitalized costs were recorded in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in the consolidated balance sheets, respectively.</w:t>
      </w:r>
    </w:p>
    <w:p>
      <w:pPr>
        <w:pStyle w:val="TextBody"/>
        <w:bidi w:val="0"/>
        <w:spacing w:lineRule="auto" w:line="288" w:before="0" w:after="200"/>
        <w:ind w:left="0" w:right="0" w:firstLine="360"/>
        <w:jc w:val="both"/>
        <w:rPr/>
      </w:pPr>
      <w:r>
        <w:rPr>
          <w:rFonts w:ascii="Times New Roman;serif" w:hAnsi="Times New Roman;serif"/>
          <w:b/>
          <w:i/>
          <w:color w:val="000000"/>
          <w:sz w:val="20"/>
        </w:rPr>
        <w:t>Internal-Use Software Implementation Costs</w:t>
      </w:r>
      <w:r>
        <w:rPr>
          <w:color w:val="000000"/>
        </w:rPr>
        <w:t xml:space="preserve"> — </w:t>
      </w:r>
      <w:r>
        <w:rPr>
          <w:rFonts w:ascii="Times New Roman;serif" w:hAnsi="Times New Roman;serif"/>
          <w:b w:val="false"/>
          <w:color w:val="000000"/>
          <w:sz w:val="20"/>
        </w:rPr>
        <w:t xml:space="preserve">The Company has entered into cloud-based software hosting arrangements related to new internal-use information technology systems, including a new enterprise resource planning system, human capital management system, and customer relationship management system for which it incurs implementation costs. As of June 30, 2025 and December 31, 2024, capitalized internal-use software implementation costs were $23,986 and $18,791, respectively, which are included in </w:t>
      </w:r>
      <w:r>
        <w:rPr>
          <w:rFonts w:ascii="Times New Roman;serif" w:hAnsi="Times New Roman;serif"/>
          <w:b w:val="false"/>
          <w:i/>
          <w:color w:val="000000"/>
          <w:sz w:val="20"/>
        </w:rPr>
        <w:t>Prepaid and other current assets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Other assets</w:t>
      </w:r>
      <w:r>
        <w:rPr>
          <w:color w:val="000000"/>
        </w:rPr>
        <w:t xml:space="preserve"> </w:t>
      </w:r>
      <w:r>
        <w:rPr>
          <w:rFonts w:ascii="Times New Roman;serif" w:hAnsi="Times New Roman;serif"/>
          <w:b w:val="false"/>
          <w:color w:val="000000"/>
          <w:sz w:val="20"/>
        </w:rPr>
        <w:t>in the consolidated balance sheets, depending on the short- or long-term nature of such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2: Recent Accounting Pronouncements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November 2024, the Financial Accounting Standards Board (“FASB”) issued Accounting Standards Update (“ASU”) No. 2024</w:t>
        <w:noBreakHyphen/>
        <w:t xml:space="preserve">03, </w:t>
      </w:r>
      <w:r>
        <w:rPr>
          <w:rFonts w:ascii="Times New Roman;serif" w:hAnsi="Times New Roman;serif"/>
          <w:b w:val="false"/>
          <w:i/>
          <w:color w:val="000000"/>
          <w:sz w:val="20"/>
        </w:rPr>
        <w:t>Income Statements–Reporting Comprehensive Income–Expense Disaggregation Disclosures (Subtopic 220-40): Disaggregation of Income Statement Expenses</w:t>
      </w:r>
      <w:r>
        <w:rPr>
          <w:color w:val="000000"/>
        </w:rPr>
        <w:t xml:space="preserve"> </w:t>
      </w:r>
      <w:r>
        <w:rPr>
          <w:rFonts w:ascii="Times New Roman;serif" w:hAnsi="Times New Roman;serif"/>
          <w:b w:val="false"/>
          <w:color w:val="000000"/>
          <w:sz w:val="20"/>
        </w:rPr>
        <w:t>(“ASU 2024</w:t>
        <w:noBreakHyphen/>
        <w:t>03”), which requires enhanced disclosure of income statement expense 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w:t>
        <w:noBreakHyphen/>
        <w:t>03, however, other than additional disclosure, the Company does not expect a change to the consolidated financial statements.</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March 2024, the SEC adopted the final rule under SEC Release No. 33</w:t>
        <w:noBreakHyphen/>
        <w:t xml:space="preserve">11275, </w:t>
      </w:r>
      <w:r>
        <w:rPr>
          <w:rFonts w:ascii="Times New Roman;serif" w:hAnsi="Times New Roman;serif"/>
          <w:b w:val="false"/>
          <w:i/>
          <w:color w:val="000000"/>
          <w:sz w:val="20"/>
        </w:rPr>
        <w:t>The Enhancement and Standardization of Climate</w:t>
        <w:noBreakHyphen/>
        <w:t>Related Disclosures for Investors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final rule requires registrants to disclose certain climate</w:t>
        <w:noBreakHyphen/>
        <w:t>related information in registration statements and annual reports. The final rule disclosure requirements will begin phasing in prospectively for the Company’s fiscal year beginning January 1, 2025. In April 2024, the SEC issued an order staying the final rule pending completion of a judicial review of certain petitions challenging their validity. In March 2025, the SEC voted to end its defense of the final rule. The Company is currently evaluating the impact of the final rule on its consolidated financial statements disclosures and monitoring the status of the final rule pending the court’s ultimate decision.</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December 2023, the FASB issued ASU No. 2023</w:t>
        <w:noBreakHyphen/>
        <w:t xml:space="preserve">09, </w:t>
      </w:r>
      <w:r>
        <w:rPr>
          <w:rFonts w:ascii="Times New Roman;serif" w:hAnsi="Times New Roman;serif"/>
          <w:b w:val="false"/>
          <w:i/>
          <w:color w:val="000000"/>
          <w:sz w:val="20"/>
        </w:rPr>
        <w:t>Income Taxes (Topic 740): Improvements to Income Tax Disclosures</w:t>
      </w:r>
      <w:r>
        <w:rPr>
          <w:color w:val="000000"/>
        </w:rPr>
        <w:t xml:space="preserve"> </w:t>
      </w:r>
      <w:r>
        <w:rPr>
          <w:rFonts w:ascii="Times New Roman;serif" w:hAnsi="Times New Roman;serif"/>
          <w:b w:val="false"/>
          <w:color w:val="000000"/>
          <w:sz w:val="20"/>
        </w:rPr>
        <w:t>(“ASU 2023</w:t>
        <w:noBreakHyphen/>
        <w:t>09”), which expands disclosures in an entity’s income tax rate reconciliation table and regarding cash taxes paid both in the U.S. and foreign jurisdictions. ASU 2023</w:t>
        <w:noBreakHyphen/>
        <w:t>09 is effective for the Company for the annual reporting period beginning after December 15, 2024. Early adoption is permitted. The Company is currently evaluating the impact of the adoption of ASU 2023</w:t>
        <w:noBreakHyphen/>
        <w:t>09 on its consolidated financial statements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3: Revenue from Contracts with Customers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Disaggregation of Revenues</w:t>
      </w:r>
    </w:p>
    <w:p>
      <w:pPr>
        <w:pStyle w:val="TextBody"/>
        <w:bidi w:val="0"/>
        <w:spacing w:lineRule="auto" w:line="288" w:before="0" w:after="20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revenues consist of the following:</w:t>
      </w:r>
    </w:p>
    <w:tbl>
      <w:tblPr>
        <w:tblW w:w="7889" w:type="dxa"/>
        <w:jc w:val="center"/>
        <w:tblInd w:w="0" w:type="dxa"/>
        <w:tblLayout w:type="fixed"/>
        <w:tblCellMar>
          <w:top w:w="28" w:type="dxa"/>
          <w:left w:w="28" w:type="dxa"/>
          <w:bottom w:w="28" w:type="dxa"/>
          <w:right w:w="28" w:type="dxa"/>
        </w:tblCellMar>
      </w:tblPr>
      <w:tblGrid>
        <w:gridCol w:w="825"/>
        <w:gridCol w:w="726"/>
        <w:gridCol w:w="728"/>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Enterprise subscriptions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255,372 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SELECT subscriptions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license subscriptions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(1)Enterprise subscriptions are primarily revenues attributable to Enterprise 365 (“E365”) subscriptions of $150,166 and $125,630 for the three months ended June 30, 2025 and 2024, respectively, and $297,070 and $248,666 for the six months ended June 30, 2025 and 2024, respectively.</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Company recognizes perpetual licenses and the term license component of subscriptions as revenue when either the licenses are delivered or at the start of the subscription term. For the three months ended June 30, 2025 and 2024, the Company recognized $184,341 and $162,458 of license related revenues, respectively, of which $174,148 and $151,595, respectively, were attributable to the term license component of the Company’s subscription</w:t>
        <w:noBreakHyphen/>
        <w:t xml:space="preserve">based commercial offerings recorded in </w:t>
      </w:r>
      <w:r>
        <w:rPr>
          <w:rFonts w:ascii="Times New Roman;serif" w:hAnsi="Times New Roman;serif"/>
          <w:b w:val="false"/>
          <w:i/>
          <w:color w:val="000000"/>
          <w:sz w:val="20"/>
        </w:rPr>
        <w:t>Subscriptions</w:t>
      </w:r>
      <w:r>
        <w:rPr>
          <w:color w:val="000000"/>
        </w:rPr>
        <w:t xml:space="preserve"> </w:t>
      </w:r>
      <w:r>
        <w:rPr>
          <w:rFonts w:ascii="Times New Roman;serif" w:hAnsi="Times New Roman;serif"/>
          <w:b w:val="false"/>
          <w:color w:val="000000"/>
          <w:sz w:val="20"/>
        </w:rPr>
        <w:t>in the consolidated statements of operations. For the six months ended June 30, 2025 and 2024, the Company recognized $385,379 and $338,767 of license related revenues, respectively, of which $364,394 and $318,392, respectively, were attributable to the term license component of the Company’s subscription</w:t>
        <w:noBreakHyphen/>
        <w:t xml:space="preserve">based commercial offerings recorded in </w:t>
      </w:r>
      <w:r>
        <w:rPr>
          <w:rFonts w:ascii="Times New Roman;serif" w:hAnsi="Times New Roman;serif"/>
          <w:b w:val="false"/>
          <w:i/>
          <w:color w:val="000000"/>
          <w:sz w:val="20"/>
        </w:rPr>
        <w:t>Subscriptions</w:t>
      </w:r>
      <w:r>
        <w:rPr>
          <w:color w:val="000000"/>
        </w:rPr>
        <w:t xml:space="preserve"> </w:t>
      </w:r>
      <w:r>
        <w:rPr>
          <w:rFonts w:ascii="Times New Roman;serif" w:hAnsi="Times New Roman;serif"/>
          <w:b w:val="false"/>
          <w:color w:val="000000"/>
          <w:sz w:val="20"/>
        </w:rPr>
        <w:t>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upon the location of the customer. Revenues by geographic region are as follows:</w:t>
      </w:r>
    </w:p>
    <w:tbl>
      <w:tblPr>
        <w:tblW w:w="9524" w:type="dxa"/>
        <w:jc w:val="center"/>
        <w:tblInd w:w="0" w:type="dxa"/>
        <w:tblLayout w:type="fixed"/>
        <w:tblCellMar>
          <w:top w:w="28" w:type="dxa"/>
          <w:left w:w="28" w:type="dxa"/>
          <w:bottom w:w="28" w:type="dxa"/>
          <w:right w:w="28" w:type="dxa"/>
        </w:tblCellMar>
      </w:tblPr>
      <w:tblGrid>
        <w:gridCol w:w="1415"/>
        <w:gridCol w:w="1244"/>
        <w:gridCol w:w="1255"/>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Americas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Europe, the Middle East, and Africa (“EMEA”)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Asia-Pacific (“APAC”)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(1)Americas includes the U.S., Canada, and Latin America (including the Caribbean). Revenue attributable to the U.S. totaled $155,358 and $139,010 for the three months ended June 30, 2025 and 2024, respectively, and $308,387 and $277,262 for the six months ended June 30,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derived 6% of its total revenues through channel partners for both the three and six months ended June 30, 2025 and 7% of its total revenues through channel partners for both the three and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Unbilled Accounts Receivable</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Unbilled accounts receivable represent amounts that are unbilled due to agreed-upon contractual terms in which billing occurs subsequent to revenue recognition, and are included in </w:t>
      </w:r>
      <w:r>
        <w:rPr>
          <w:rFonts w:ascii="Times New Roman;serif" w:hAnsi="Times New Roman;serif"/>
          <w:b w:val="false"/>
          <w:i/>
          <w:color w:val="000000"/>
          <w:sz w:val="20"/>
        </w:rPr>
        <w:t>Accounts receivable</w:t>
      </w:r>
      <w:r>
        <w:rPr>
          <w:color w:val="000000"/>
        </w:rPr>
        <w:t xml:space="preserve"> </w:t>
      </w:r>
      <w:r>
        <w:rPr>
          <w:rFonts w:ascii="Times New Roman;serif" w:hAnsi="Times New Roman;serif"/>
          <w:b w:val="false"/>
          <w:color w:val="000000"/>
          <w:sz w:val="20"/>
        </w:rPr>
        <w:t>in the consolidated balance sheets. As of June 30, 2025 and December 31, 2024, unbilled accounts receivable were $174,012 and $159,924, respectively.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Contract Balances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June 30, 2025 and December 31, 2024, the Company’s contract assets relate to performance obligations completed in advance of the right to invoice and are included in </w:t>
      </w:r>
      <w:r>
        <w:rPr>
          <w:rFonts w:ascii="Times New Roman;serif" w:hAnsi="Times New Roman;serif"/>
          <w:b w:val="false"/>
          <w:i/>
          <w:color w:val="000000"/>
          <w:sz w:val="20"/>
        </w:rPr>
        <w:t>Prepaid and other current assets</w:t>
      </w:r>
      <w:r>
        <w:rPr>
          <w:color w:val="000000"/>
        </w:rPr>
        <w:t xml:space="preserve"> </w:t>
      </w:r>
      <w:r>
        <w:rPr>
          <w:rFonts w:ascii="Times New Roman;serif" w:hAnsi="Times New Roman;serif"/>
          <w:b w:val="false"/>
          <w:color w:val="000000"/>
          <w:sz w:val="20"/>
        </w:rPr>
        <w:t>in the consolidated balance sheets. Contract assets were not material as of June 30, 2025 or December 31, 2024.</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Deferred revenues consist of billings made or payments received in advance of revenue recognition from subscriptions and services. The primary changes in deferred revenues are due to the Company’s performance under the contracts and new billings made or payments received in advance of revenue recognition from subscriptions and services. The satisfaction of performance obligations typically lags behind payments received under revenue from contracts with customers.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$175,935 of revenues that were included in the December 31, 2024 deferred revenues balance were recognized. There were additional deferrals of $163,049 for the six months ended June 30, 2025, which were primarily related to new billings. For the six months ended June 30, 2024, $165,042 of revenues that were included in the December 31, 2023 deferred revenues balance were recognized. There were additional deferrals of $152,734 for the six months ended June 30, 2024, which were primarily related to new billings.</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As of June 30, 2025 and December 31, 2024, the Company deferred $19,905 and $18,540, respectively, related to portfolio balancing exchange rights which is included in </w:t>
      </w:r>
      <w:r>
        <w:rPr>
          <w:rFonts w:ascii="Times New Roman;serif" w:hAnsi="Times New Roman;serif"/>
          <w:b w:val="false"/>
          <w:i/>
          <w:color w:val="000000"/>
          <w:sz w:val="20"/>
        </w:rPr>
        <w:t>Deferred revenues</w:t>
      </w:r>
      <w:r>
        <w:rPr>
          <w:color w:val="000000"/>
        </w:rPr>
        <w:t xml:space="preserve"> </w:t>
      </w:r>
      <w:r>
        <w:rPr>
          <w:rFonts w:ascii="Times New Roman;serif" w:hAnsi="Times New Roman;serif"/>
          <w:b w:val="false"/>
          <w:color w:val="000000"/>
          <w:sz w:val="20"/>
        </w:rPr>
        <w:t>in the consolidated balance sheets.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Remaining Performance Obligations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contracts with customers include amounts allocated to performance obligations that will be satisfied at a later date. As of June 30, 2025, amounts allocated to these remaining performance obligations are $264,818, of which the Company expects to recognize approximately 93% over the next 12 months with the remaining amount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4: Acquisitions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details of the Company’s acquisition activity are as follows:</w:t>
      </w:r>
    </w:p>
    <w:tbl>
      <w:tblPr>
        <w:tblW w:w="4603" w:type="dxa"/>
        <w:jc w:val="center"/>
        <w:tblInd w:w="0" w:type="dxa"/>
        <w:tblLayout w:type="fixed"/>
        <w:tblCellMar>
          <w:top w:w="28" w:type="dxa"/>
          <w:left w:w="28" w:type="dxa"/>
          <w:bottom w:w="28" w:type="dxa"/>
          <w:right w:w="28" w:type="dxa"/>
        </w:tblCellMar>
      </w:tblPr>
      <w:tblGrid>
        <w:gridCol w:w="727"/>
        <w:gridCol w:w="640"/>
        <w:gridCol w:w="642"/>
        <w:gridCol w:w="269"/>
        <w:gridCol w:w="518"/>
        <w:gridCol w:w="139"/>
        <w:gridCol w:w="139"/>
        <w:gridCol w:w="139"/>
        <w:gridCol w:w="139"/>
        <w:gridCol w:w="269"/>
        <w:gridCol w:w="786"/>
        <w:gridCol w:w="196"/>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Acquisitions Completed During</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Number of acquisitions</w:t>
            </w:r>
          </w:p>
        </w:tc>
        <w:tc>
          <w:tcPr>
            <w:tcW w:w="7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at closing</w:t>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926"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251"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paid</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operating results of the acquired businesses were not material, individually or in the aggregate, to the Company’s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operating results for any acquired business are included in the Company’s consolidated financial statements from the closing date of each respective acquisition. The following summarizes the fair values of the assets acquired and liabilities assumed, as well as the weighted average useful lives assigned to acquired intangible assets at the respective date of each acquisition:</w:t>
      </w:r>
    </w:p>
    <w:tbl>
      <w:tblPr>
        <w:tblW w:w="8226" w:type="dxa"/>
        <w:jc w:val="center"/>
        <w:tblInd w:w="0" w:type="dxa"/>
        <w:tblLayout w:type="fixed"/>
        <w:tblCellMar>
          <w:top w:w="28" w:type="dxa"/>
          <w:left w:w="28" w:type="dxa"/>
          <w:bottom w:w="28" w:type="dxa"/>
          <w:right w:w="28" w:type="dxa"/>
        </w:tblCellMar>
      </w:tblPr>
      <w:tblGrid>
        <w:gridCol w:w="1959"/>
        <w:gridCol w:w="1723"/>
        <w:gridCol w:w="1732"/>
        <w:gridCol w:w="109"/>
        <w:gridCol w:w="109"/>
        <w:gridCol w:w="459"/>
        <w:gridCol w:w="1800"/>
        <w:gridCol w:w="335"/>
      </w:tblGrid>
      <w:tr>
        <w:trPr/>
        <w:tc>
          <w:tcPr>
            <w:tcW w:w="195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Acquisitions Completed During</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w:t>
            </w:r>
          </w:p>
        </w:tc>
      </w:tr>
      <w:tr>
        <w:trPr/>
        <w:tc>
          <w:tcPr>
            <w:tcW w:w="5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at closing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143,299 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consideration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143,407 </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 acquired and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and other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Software and technology (weighted average useful life of 5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Customer relationships (weighted average useful life of 3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Trademarks (weighted average useful life of 10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5,145 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identifiable assets acquired excluding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31,637 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(5,778)</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4" w:type="dxa"/>
            <w:gridSpan w:val="3"/>
            <w:tcBorders/>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(8,444)</w:t>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identifiable assets acquired excluding 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23,193 </w:t>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120,214 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143,407 </w:t>
            </w:r>
          </w:p>
        </w:tc>
        <w:tc>
          <w:tcPr>
            <w:tcW w:w="3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in the process of finalizing the purchase accounting for certain acquisitions completed during the year ended December 31, 2024. The initial accounting for these business combinations is not complete because the evaluation necessary to assess the fair values of certain net assets acquired is still in process. The provisional amounts are subject to revision until the evaluations are completed to the extent that additional information is obtained about the facts and circumstances that existed as of the acquisition date. The allocation of the purchase price may be modified from the date of the acquisition as more information is obtained about the fair values of assets acquired and liabilities assumed, however, such measurement period cannot exceed one year. The primary areas of preliminary purchase price allocation that are not yet finalized relate to tax assets and liabilities, and residual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5: Property and Equipment,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 of the following:</w:t>
      </w:r>
    </w:p>
    <w:tbl>
      <w:tblPr>
        <w:tblW w:w="5981" w:type="dxa"/>
        <w:jc w:val="center"/>
        <w:tblInd w:w="0" w:type="dxa"/>
        <w:tblLayout w:type="fixed"/>
        <w:tblCellMar>
          <w:top w:w="28" w:type="dxa"/>
          <w:left w:w="28" w:type="dxa"/>
          <w:bottom w:w="28" w:type="dxa"/>
          <w:right w:w="28" w:type="dxa"/>
        </w:tblCellMar>
      </w:tblPr>
      <w:tblGrid>
        <w:gridCol w:w="1054"/>
        <w:gridCol w:w="924"/>
        <w:gridCol w:w="932"/>
        <w:gridCol w:w="234"/>
        <w:gridCol w:w="800"/>
        <w:gridCol w:w="121"/>
        <w:gridCol w:w="109"/>
        <w:gridCol w:w="109"/>
        <w:gridCol w:w="109"/>
        <w:gridCol w:w="308"/>
        <w:gridCol w:w="1055"/>
        <w:gridCol w:w="226"/>
      </w:tblGrid>
      <w:tr>
        <w:trPr/>
        <w:tc>
          <w:tcPr>
            <w:tcW w:w="105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1,341 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and improvements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32,115 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58,580 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equipment</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2,038 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95,413 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(71,762)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34,377 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33,798 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expense was $3,453 and $3,313 for the three months ended June 30, 2025 and 2024, respectively, and $6,798 and $6,680 for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6: Goodwill and Other Intangible Assets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Goodwill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are as follows:</w:t>
      </w:r>
    </w:p>
    <w:tbl>
      <w:tblPr>
        <w:tblW w:w="4776" w:type="dxa"/>
        <w:jc w:val="center"/>
        <w:tblInd w:w="0" w:type="dxa"/>
        <w:tblLayout w:type="fixed"/>
        <w:tblCellMar>
          <w:top w:w="28" w:type="dxa"/>
          <w:left w:w="28" w:type="dxa"/>
          <w:bottom w:w="28" w:type="dxa"/>
          <w:right w:w="28" w:type="dxa"/>
        </w:tblCellMar>
      </w:tblPr>
      <w:tblGrid>
        <w:gridCol w:w="1244"/>
        <w:gridCol w:w="1093"/>
        <w:gridCol w:w="1098"/>
        <w:gridCol w:w="211"/>
        <w:gridCol w:w="976"/>
        <w:gridCol w:w="154"/>
      </w:tblGrid>
      <w:tr>
        <w:trPr/>
        <w:tc>
          <w:tcPr>
            <w:tcW w:w="1244"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2,367,179 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2,416,815 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Other Intangible Assets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Details of intangible assets other than goodwill are as follows:</w:t>
      </w:r>
    </w:p>
    <w:tbl>
      <w:tblPr>
        <w:tblW w:w="10205" w:type="dxa"/>
        <w:jc w:val="center"/>
        <w:tblInd w:w="0" w:type="dxa"/>
        <w:tblLayout w:type="fixed"/>
        <w:tblCellMar>
          <w:top w:w="28" w:type="dxa"/>
          <w:left w:w="28" w:type="dxa"/>
          <w:bottom w:w="28" w:type="dxa"/>
          <w:right w:w="28" w:type="dxa"/>
        </w:tblCellMar>
      </w:tblPr>
      <w:tblGrid>
        <w:gridCol w:w="475"/>
        <w:gridCol w:w="341"/>
        <w:gridCol w:w="343"/>
        <w:gridCol w:w="251"/>
        <w:gridCol w:w="251"/>
        <w:gridCol w:w="252"/>
        <w:gridCol w:w="109"/>
        <w:gridCol w:w="109"/>
        <w:gridCol w:w="109"/>
        <w:gridCol w:w="196"/>
        <w:gridCol w:w="736"/>
        <w:gridCol w:w="109"/>
        <w:gridCol w:w="109"/>
        <w:gridCol w:w="109"/>
        <w:gridCol w:w="109"/>
        <w:gridCol w:w="196"/>
        <w:gridCol w:w="753"/>
        <w:gridCol w:w="109"/>
        <w:gridCol w:w="109"/>
        <w:gridCol w:w="109"/>
        <w:gridCol w:w="109"/>
        <w:gridCol w:w="196"/>
        <w:gridCol w:w="736"/>
        <w:gridCol w:w="109"/>
        <w:gridCol w:w="109"/>
        <w:gridCol w:w="109"/>
        <w:gridCol w:w="109"/>
        <w:gridCol w:w="196"/>
        <w:gridCol w:w="736"/>
        <w:gridCol w:w="109"/>
        <w:gridCol w:w="109"/>
        <w:gridCol w:w="109"/>
        <w:gridCol w:w="109"/>
        <w:gridCol w:w="196"/>
        <w:gridCol w:w="753"/>
        <w:gridCol w:w="109"/>
        <w:gridCol w:w="109"/>
        <w:gridCol w:w="109"/>
        <w:gridCol w:w="109"/>
        <w:gridCol w:w="196"/>
        <w:gridCol w:w="736"/>
        <w:gridCol w:w="159"/>
      </w:tblGrid>
      <w:tr>
        <w:trPr/>
        <w:tc>
          <w:tcPr>
            <w:tcW w:w="4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December 31, 2024</w:t>
            </w:r>
          </w:p>
        </w:tc>
      </w:tr>
      <w:tr>
        <w:trPr/>
        <w:tc>
          <w:tcPr>
            <w:tcW w:w="1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Estimated</w:t>
              <w:br/>
              <w:t>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Net Book</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5"/>
              </w:rPr>
            </w:pPr>
            <w:r>
              <w:rPr>
                <w:rFonts w:ascii="Times New Roman;serif" w:hAnsi="Times New Roman;serif"/>
                <w:b/>
                <w:color w:val="000000"/>
                <w:sz w:val="15"/>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5"/>
              </w:rPr>
            </w:pPr>
            <w:r>
              <w:rPr>
                <w:rFonts w:ascii="Times New Roman;serif" w:hAnsi="Times New Roman;serif"/>
                <w:b/>
                <w:color w:val="000000"/>
                <w:sz w:val="15"/>
              </w:rPr>
              <w:t>Net Book</w:t>
              <w:br/>
              <w:t>Value</w:t>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subject to amortization:</w:t>
            </w:r>
          </w:p>
        </w:tc>
        <w:tc>
          <w:tcPr>
            <w:tcW w:w="7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Software and technology</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(177,309)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153,598 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Trademarks</w:t>
            </w:r>
          </w:p>
        </w:tc>
        <w:tc>
          <w:tcPr>
            <w:tcW w:w="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35,441 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Non-compete agreements</w:t>
            </w:r>
          </w:p>
        </w:tc>
        <w:tc>
          <w:tcPr>
            <w:tcW w:w="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vAlign w:val="center"/>
          </w:tcPr>
          <w:p>
            <w:pPr>
              <w:pStyle w:val="TableContents"/>
              <w:bidi w:val="0"/>
              <w:spacing w:before="0" w:after="283"/>
              <w:jc w:val="left"/>
              <w:rPr>
                <w:sz w:val="4"/>
                <w:szCs w:val="4"/>
              </w:rPr>
            </w:pPr>
            <w:r>
              <w:rPr>
                <w:sz w:val="4"/>
                <w:szCs w:val="4"/>
              </w:rPr>
            </w:r>
          </w:p>
        </w:tc>
        <w:tc>
          <w:tcPr>
            <w:tcW w:w="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w:t>
            </w:r>
          </w:p>
        </w:tc>
        <w:tc>
          <w:tcPr>
            <w:tcW w:w="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479,032 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(286,281)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192,751 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476,735 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(262,776)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213,959 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aggregate amortization expense for purchased intangible assets with finite lives was reflected in the Company’s consolidated statements of operations as follows:</w:t>
      </w:r>
    </w:p>
    <w:tbl>
      <w:tblPr>
        <w:tblW w:w="8430" w:type="dxa"/>
        <w:jc w:val="center"/>
        <w:tblInd w:w="0" w:type="dxa"/>
        <w:tblLayout w:type="fixed"/>
        <w:tblCellMar>
          <w:top w:w="28" w:type="dxa"/>
          <w:left w:w="28" w:type="dxa"/>
          <w:bottom w:w="28" w:type="dxa"/>
          <w:right w:w="28" w:type="dxa"/>
        </w:tblCellMar>
      </w:tblPr>
      <w:tblGrid>
        <w:gridCol w:w="1174"/>
        <w:gridCol w:w="1030"/>
        <w:gridCol w:w="103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7: Investments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Investments consist of the following:</w:t>
      </w:r>
    </w:p>
    <w:tbl>
      <w:tblPr>
        <w:tblW w:w="5425" w:type="dxa"/>
        <w:jc w:val="center"/>
        <w:tblInd w:w="0" w:type="dxa"/>
        <w:tblLayout w:type="fixed"/>
        <w:tblCellMar>
          <w:top w:w="28" w:type="dxa"/>
          <w:left w:w="28" w:type="dxa"/>
          <w:bottom w:w="28" w:type="dxa"/>
          <w:right w:w="28" w:type="dxa"/>
        </w:tblCellMar>
      </w:tblPr>
      <w:tblGrid>
        <w:gridCol w:w="853"/>
        <w:gridCol w:w="749"/>
        <w:gridCol w:w="752"/>
        <w:gridCol w:w="234"/>
        <w:gridCol w:w="800"/>
        <w:gridCol w:w="121"/>
        <w:gridCol w:w="109"/>
        <w:gridCol w:w="109"/>
        <w:gridCol w:w="109"/>
        <w:gridCol w:w="308"/>
        <w:gridCol w:w="1055"/>
        <w:gridCol w:w="226"/>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method investments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23,260 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23,289 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25,844 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25,764 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Cost Method Investments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invests in technology development companies, generally in the form of equity interests or convertible notes. During the six months ended June 30, 2025 and 2024, the Company invested a total of $0 and $557, respectively. As of June 30, 2025 and December 31, 2024, $8,928 of the total cost method investment balance relates to the Company’s equity interest in Worldsensing, a leading global connectivity hardware platform company for infrastructure monitoring.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2024, the Company acquired a business from Teralytics Holdings AG (“Teralytics”) for $5,000. During the fourth quarter of 2024, the Company sold its ownership percentage in Teralytics, which resulted in no gain or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8: Leases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consist of office facilities, office equipment, and automobiles. As of June 30, 2025, the Company’s leases have remaining terms of less than one year to eight years, some of which include one or more options to renew, with renewal terms from one year to five years and some of which include options to terminate the leases from less than one year to five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components of operating lease cost reflected in the consolidated statements of operations were as follows:</w:t>
      </w:r>
    </w:p>
    <w:tbl>
      <w:tblPr>
        <w:tblW w:w="6975" w:type="dxa"/>
        <w:jc w:val="center"/>
        <w:tblInd w:w="0" w:type="dxa"/>
        <w:tblLayout w:type="fixed"/>
        <w:tblCellMar>
          <w:top w:w="28" w:type="dxa"/>
          <w:left w:w="28" w:type="dxa"/>
          <w:bottom w:w="28" w:type="dxa"/>
          <w:right w:w="28" w:type="dxa"/>
        </w:tblCellMar>
      </w:tblPr>
      <w:tblGrid>
        <w:gridCol w:w="798"/>
        <w:gridCol w:w="701"/>
        <w:gridCol w:w="706"/>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lease cost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(1)Operating lease cost includes rent cost related to operating leases for office facilities of $3,546 and $3,301 for the three months ended June 30, 2025 and 2024, respectively, and $7,078 and $6,772 for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left"/>
        <w:rPr/>
      </w:pPr>
      <w:r>
        <w:rPr>
          <w:rFonts w:ascii="Times New Roman;serif" w:hAnsi="Times New Roman;serif"/>
          <w:b w:val="false"/>
          <w:color w:val="000000"/>
          <w:sz w:val="20"/>
        </w:rPr>
        <w:t>Supplemental operating cash flows and other information related to leases</w:t>
      </w:r>
      <w:r>
        <w:rPr>
          <w:color w:val="212529"/>
        </w:rPr>
        <w:t xml:space="preserve"> </w:t>
      </w:r>
      <w:r>
        <w:rPr>
          <w:rFonts w:ascii="Times New Roman;serif" w:hAnsi="Times New Roman;serif"/>
          <w:b w:val="false"/>
          <w:color w:val="212529"/>
          <w:sz w:val="20"/>
        </w:rPr>
        <w:t>was as follows:</w:t>
      </w:r>
    </w:p>
    <w:tbl>
      <w:tblPr>
        <w:tblW w:w="8439" w:type="dxa"/>
        <w:jc w:val="center"/>
        <w:tblInd w:w="0" w:type="dxa"/>
        <w:tblLayout w:type="fixed"/>
        <w:tblCellMar>
          <w:top w:w="28" w:type="dxa"/>
          <w:left w:w="28" w:type="dxa"/>
          <w:bottom w:w="28" w:type="dxa"/>
          <w:right w:w="28" w:type="dxa"/>
        </w:tblCellMar>
      </w:tblPr>
      <w:tblGrid>
        <w:gridCol w:w="2242"/>
        <w:gridCol w:w="1973"/>
        <w:gridCol w:w="1980"/>
        <w:gridCol w:w="211"/>
        <w:gridCol w:w="616"/>
        <w:gridCol w:w="109"/>
        <w:gridCol w:w="109"/>
        <w:gridCol w:w="109"/>
        <w:gridCol w:w="109"/>
        <w:gridCol w:w="211"/>
        <w:gridCol w:w="616"/>
        <w:gridCol w:w="154"/>
      </w:tblGrid>
      <w:tr>
        <w:trPr/>
        <w:tc>
          <w:tcPr>
            <w:tcW w:w="224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leases included in operating cash flows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obtained in exchange for new operating lease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for operating leases was 4.1 years and 4.3 years as of June 30, 2025 and December 31, 2024, respectively. The weighted average discount rate was 5.4% and 5.2% as of June 30, 2025 and December 31, 2024,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Company had additional minimum operating lease payments of $6,370 for executed leases that have not yet commenced, primarily for office locations.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9: Accruals and Other Current Liabilities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Accruals and other current liabilities consist of the following:</w:t>
      </w:r>
    </w:p>
    <w:tbl>
      <w:tblPr>
        <w:tblW w:w="6579" w:type="dxa"/>
        <w:jc w:val="center"/>
        <w:tblInd w:w="0" w:type="dxa"/>
        <w:tblLayout w:type="fixed"/>
        <w:tblCellMar>
          <w:top w:w="28" w:type="dxa"/>
          <w:left w:w="28" w:type="dxa"/>
          <w:bottom w:w="28" w:type="dxa"/>
          <w:right w:w="28" w:type="dxa"/>
        </w:tblCellMar>
      </w:tblPr>
      <w:tblGrid>
        <w:gridCol w:w="1269"/>
        <w:gridCol w:w="1115"/>
        <w:gridCol w:w="1125"/>
        <w:gridCol w:w="212"/>
        <w:gridCol w:w="833"/>
        <w:gridCol w:w="109"/>
        <w:gridCol w:w="109"/>
        <w:gridCol w:w="109"/>
        <w:gridCol w:w="109"/>
        <w:gridCol w:w="281"/>
        <w:gridCol w:w="1103"/>
        <w:gridCol w:w="205"/>
      </w:tblGrid>
      <w:tr>
        <w:trPr/>
        <w:tc>
          <w:tcPr>
            <w:tcW w:w="1269"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benefits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40,762 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and current liabilities</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81,639 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accruals and other current liabilities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169,522 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10: Long-Term Debt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w:t>
        <w:noBreakHyphen/>
        <w:t>term debt consists of the following:</w:t>
      </w:r>
    </w:p>
    <w:tbl>
      <w:tblPr>
        <w:tblW w:w="8387" w:type="dxa"/>
        <w:jc w:val="center"/>
        <w:tblInd w:w="0" w:type="dxa"/>
        <w:tblLayout w:type="fixed"/>
        <w:tblCellMar>
          <w:top w:w="28" w:type="dxa"/>
          <w:left w:w="28" w:type="dxa"/>
          <w:bottom w:w="28" w:type="dxa"/>
          <w:right w:w="28" w:type="dxa"/>
        </w:tblCellMar>
      </w:tblPr>
      <w:tblGrid>
        <w:gridCol w:w="1872"/>
        <w:gridCol w:w="1647"/>
        <w:gridCol w:w="1656"/>
        <w:gridCol w:w="211"/>
        <w:gridCol w:w="976"/>
        <w:gridCol w:w="109"/>
        <w:gridCol w:w="109"/>
        <w:gridCol w:w="109"/>
        <w:gridCol w:w="109"/>
        <w:gridCol w:w="250"/>
        <w:gridCol w:w="1157"/>
        <w:gridCol w:w="182"/>
      </w:tblGrid>
      <w:tr>
        <w:trPr/>
        <w:tc>
          <w:tcPr>
            <w:tcW w:w="1872"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facility: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loan facility due October 2029</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135,315 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January 2026 (the “2026 Notes”)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687,830 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senior notes due July 2027 (the “2027 Notes”)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(10,057)</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1,245,843 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1,388,088 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1,245,843 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1,388,088 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$150 of letters of credit outstanding as of June 30, 2025 and December 31, 2024 under its second amended and restated credit agreement, entered into on October 18, 2024 with a syndicate of banks (the “Credit Facility”). As of June 30, 2025 and December 31, 2024, the Company had $1,299,850 and $1,164,535, respectively, available under the Credit Facility.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and December 31, 2024, the Company was in compliance with all debt covenants and none of the conditions of the 2026 Notes or 2027 Notes to early convert had been met. Unless converted, upon maturity in January 2026, the Company will be required to repay the outstanding principal amount on the 2026 Notes, which, as of June 30, 2025, was $677,830. As of June 30, 2025, the 2026 Notes were classified as long</w:t>
        <w:noBreakHyphen/>
        <w:t>term in the consolidated balance sheets as the Company currently has the ability and intent to refinance them on a long</w:t>
        <w:noBreakHyphen/>
        <w:t>term basis through available capacity under the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During the first quarter of 2025, the Company paid $9,797 in cash to repurchase $10,000 aggregate principal amount of its outstanding 2026 Notes through open market transactions resulting in an insignificant gain, which was recorded in </w:t>
      </w:r>
      <w:r>
        <w:rPr>
          <w:rFonts w:ascii="Times New Roman;serif" w:hAnsi="Times New Roman;serif"/>
          <w:b w:val="false"/>
          <w:i/>
          <w:color w:val="000000"/>
          <w:sz w:val="20"/>
        </w:rPr>
        <w:t>Other (expense) income, net</w:t>
      </w:r>
      <w:r>
        <w:rPr>
          <w:color w:val="000000"/>
        </w:rPr>
        <w:t xml:space="preserve"> </w:t>
      </w:r>
      <w:r>
        <w:rPr>
          <w:rFonts w:ascii="Times New Roman;serif" w:hAnsi="Times New Roman;serif"/>
          <w:b w:val="false"/>
          <w:color w:val="000000"/>
          <w:sz w:val="20"/>
        </w:rPr>
        <w:t>in the consolidated statements of operations for the six months ended June 30, 2025. The 2026 Notes were repurchased under the BSY Stock Repurchase Program (the “Repurchase Program”) authorization (see Note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Interest expense, net consists of the following:</w:t>
      </w:r>
    </w:p>
    <w:tbl>
      <w:tblPr>
        <w:tblW w:w="8879" w:type="dxa"/>
        <w:jc w:val="center"/>
        <w:tblInd w:w="0" w:type="dxa"/>
        <w:tblLayout w:type="fixed"/>
        <w:tblCellMar>
          <w:top w:w="28" w:type="dxa"/>
          <w:left w:w="28" w:type="dxa"/>
          <w:bottom w:w="28" w:type="dxa"/>
          <w:right w:w="28" w:type="dxa"/>
        </w:tblCellMar>
      </w:tblPr>
      <w:tblGrid>
        <w:gridCol w:w="1340"/>
        <w:gridCol w:w="1178"/>
        <w:gridCol w:w="1186"/>
        <w:gridCol w:w="211"/>
        <w:gridCol w:w="691"/>
        <w:gridCol w:w="109"/>
        <w:gridCol w:w="109"/>
        <w:gridCol w:w="109"/>
        <w:gridCol w:w="109"/>
        <w:gridCol w:w="211"/>
        <w:gridCol w:w="691"/>
        <w:gridCol w:w="109"/>
        <w:gridCol w:w="109"/>
        <w:gridCol w:w="109"/>
        <w:gridCol w:w="109"/>
        <w:gridCol w:w="211"/>
        <w:gridCol w:w="691"/>
        <w:gridCol w:w="109"/>
        <w:gridCol w:w="109"/>
        <w:gridCol w:w="109"/>
        <w:gridCol w:w="109"/>
        <w:gridCol w:w="211"/>
        <w:gridCol w:w="796"/>
        <w:gridCol w:w="154"/>
      </w:tblGrid>
      <w:tr>
        <w:trPr/>
        <w:tc>
          <w:tcPr>
            <w:tcW w:w="1340"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interest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deferred debt issuance costs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interest expense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interest rate on borrowings under the Credit Facility were 6.24% and 7.38% for the three months ended June 30, 2025 and 2024, respectively, and 6.22% and 7.43% for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11: Executive Incentive Plans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Executive Bonus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incentive compensation, including cash payments, election to receive shares of fully vested Class B common stock, and deferred compensation to plan participants, recognized under the amended and restated Bentley Systems, Incorporated Bonus Pool Plan (the “Bonus Plan”) (net of all applicable holdbacks) was $2,393 and $6,367 for the three months ended June 30, 2025 and 2024, respectively, and $4,828 and $13,398 for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Career Stock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June 2024, the Sustainability Committee of the Company’s Board of Directors (the “Committee”) established an equity</w:t>
        <w:noBreakHyphen/>
        <w:t>based incentive program to compensate a limited set of executives (the “Career Stock Program”) pursuant to which the Company may grant restricted stock units (“RSUs”) awards under the Bentley Systems, Incorporated 2020 Omnibus Incentive Plan (the “2020 Plan”). Under the Career Stock Program, the Committee may from time to time grant RSU awards to program participants, the amount of which is to be determined based upon the Company’s Adjusted operating income less stock-based compensation expense (“AOI less SBC”) (previously titled Adjusted operating income inclusive of stock-based compensation expense (“Adjusted OI w/SBC”)) growth in the year preceding the date of grant (the “Performance Year”) as a percentage of the difference between realized AOI less SBC growth during the Performance Year and an inflation-adjusted target growth level for such Performance Year. Any such awards, if made, would thereafter cliff vest five years following the end of the Performance Year and would otherwise be subject to the terms and conditions of the 2020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the Company granted 28,913 RSUs with a fair value of $1,160 under the Career Stock Program based on the achievement of the performance goals for the year ended December 31, 2024. As of June 30, 2025, there was $1,087 of unrecognized compensation expense related to unvested RSUs under the Career Stock Program, which is expected to be recognized over a weighted average period of approximately 4.5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12: Retirement Plans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Deferred Compensation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Company’s amended and restated Bentley Systems, Incorporated Nonqualified Deferred Compensation Plan (the “DCP”), certain officers and key employees may defer all or any part of their incentive compensation, and the Company may make discretionary awards on behalf of such participants. Elective participant deferrals and discretionary Company awards are received in the form of phantom shares of the Company’s Class B common stock, which are valued for accounting purposes in the same manner as actual shares of Class B common stock, and are recorded as stock</w:t>
        <w:noBreakHyphen/>
        <w:t>based compensation expense in the consolidated statements of operations (see Note 15). The DCP has 50,000,000 shares of Class B common stock reserved for issuance. As of June 30, 2025, shares of Class B common stock available for future issuance under the DCP were 4,588,127.</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DCP elective participant deferrals were $0 and $43 for the three months ended June 30, 2025 and 2024, respectively, and $0 and $101 for the six months ended June 30, 2025 and 2024, respectively. No discretionary contributions were made to the DCP during the three and six months ended June 30, 2025 and 2024. As of June 30, 2025 and December 31, 2024, phantom shares of the Company’s Class B common stock issuable by the DCP were 10,917,802 and 12,728,808, respectively.</w:t>
      </w:r>
    </w:p>
    <w:p>
      <w:pPr>
        <w:pStyle w:val="TextBody"/>
        <w:bidi w:val="0"/>
        <w:spacing w:lineRule="auto" w:line="288" w:before="0" w:after="200"/>
        <w:ind w:left="0" w:right="0" w:firstLine="360"/>
        <w:jc w:val="both"/>
        <w:rPr/>
      </w:pPr>
      <w:r>
        <w:rPr>
          <w:rFonts w:ascii="Times New Roman;serif" w:hAnsi="Times New Roman;serif"/>
          <w:b w:val="false"/>
          <w:color w:val="000000"/>
          <w:sz w:val="20"/>
        </w:rPr>
        <w:t>In August 2021, the Company’s Board of Directors approved an amendment to the DCP, which offered to certain active executives in the DCP a one</w:t>
        <w:noBreakHyphen/>
        <w:t>time, short</w:t>
        <w:noBreakHyphen/>
        <w:t xml:space="preserve">term election to reallocate a limited portion of their DCP holdings from phantom shares of the Company’s Class B common stock into other phantom investment funds. DCP participants’ holdings in phantom investment funds are classified as liabilities in either </w:t>
      </w:r>
      <w:r>
        <w:rPr>
          <w:rFonts w:ascii="Times New Roman;serif" w:hAnsi="Times New Roman;serif"/>
          <w:b w:val="false"/>
          <w:i/>
          <w:color w:val="000000"/>
          <w:sz w:val="20"/>
        </w:rPr>
        <w:t>Accruals and other current liabilities</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i/>
          <w:color w:val="000000"/>
          <w:sz w:val="20"/>
        </w:rPr>
        <w:t>Deferred compensation plan liabilities</w:t>
      </w:r>
      <w:r>
        <w:rPr>
          <w:color w:val="000000"/>
        </w:rPr>
        <w:t xml:space="preserve"> </w:t>
      </w:r>
      <w:r>
        <w:rPr>
          <w:rFonts w:ascii="Times New Roman;serif" w:hAnsi="Times New Roman;serif"/>
          <w:b w:val="false"/>
          <w:color w:val="000000"/>
          <w:sz w:val="20"/>
        </w:rPr>
        <w:t xml:space="preserve">in the consolidated balance sheets as they will be settled in cash upon eventual distribution. The deferred compensation plan liabilities are marked to market at the end of each reporting period, with changes in the liabilities recorded as an expense (income) to </w:t>
      </w: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expense was $7,584 and $883 for the three months ended June 30, 2025 and 2024, respectively, and $6,338 and $6,682 for the six months ended June 30, 2025 and 2024,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total liabilities related to the DCP is included in the consolidated balance sheets as follows:</w:t>
      </w:r>
    </w:p>
    <w:tbl>
      <w:tblPr>
        <w:tblW w:w="6294" w:type="dxa"/>
        <w:jc w:val="center"/>
        <w:tblInd w:w="0" w:type="dxa"/>
        <w:tblLayout w:type="fixed"/>
        <w:tblCellMar>
          <w:top w:w="28" w:type="dxa"/>
          <w:left w:w="28" w:type="dxa"/>
          <w:bottom w:w="28" w:type="dxa"/>
          <w:right w:w="28" w:type="dxa"/>
        </w:tblCellMar>
      </w:tblPr>
      <w:tblGrid>
        <w:gridCol w:w="1166"/>
        <w:gridCol w:w="1027"/>
        <w:gridCol w:w="1031"/>
        <w:gridCol w:w="212"/>
        <w:gridCol w:w="833"/>
        <w:gridCol w:w="109"/>
        <w:gridCol w:w="109"/>
        <w:gridCol w:w="109"/>
        <w:gridCol w:w="109"/>
        <w:gridCol w:w="281"/>
        <w:gridCol w:w="1103"/>
        <w:gridCol w:w="205"/>
      </w:tblGrid>
      <w:tr>
        <w:trPr/>
        <w:tc>
          <w:tcPr>
            <w:tcW w:w="1166"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and other current liabilities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liabilities</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DCP liabilities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100,482 </w:t>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13: Common Stock</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BSY Stock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Board of Directors approved the Repurchase Program authorizing the Company to repurchase up to $200,000 of the Company’s Class B common stock and/or outstanding convertible senior notes through June 30, 2026. As of June 30, 2025, $113,358 was available under the Company’s Board of Directors authorization for future repurchases of Class B common stock and/or outstanding convertible senior notes under the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shares and outstanding convertible senior notes proposed to be acquired in the Repurchase Program may be repurchased from time to time in open market transactions, through privately negotiated transactions, or by other means in accordance with federal securities laws. The Company intends to fund repurchases from available working capital and cash provided by operating activities. The timing, as well as the number and value of shares and/or outstanding convertible senior notes repurchased under the Repurchase Program, will be determined by the Company at its discretion and will depend on a variety of factors, including management’s assessment of the intrinsic value of the Company’s shares, the market price of the Company’s Class B common stock and outstanding convertible senior notes, general market and economic conditions, available liquidity, compliance with the Company’s debt and other agreements, and applicable legal requirements. The exact number of shares and/or outstanding convertible senior notes to be repurchased by the Company is not guaranteed, and the Repurchase Program may be suspended, modified, or discontinued at any time without prior notice.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repurchased 1,173,041 shares for $50,023, and $10,000 aggregate principal amount of the Company’s outstanding 2026 Notes for $9,797 (see Note 10) under the Repurchase Program. During the six months ended June 30, 2024, the Company repurchased 729,681 shares for $37,515 under the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Common Stock Issuances, Sales, and Repurchases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issued 1,572,829 shares of Class B common stock to DCP participants in connection with distributions from the plan, net of 274,556 shares which were sold back to the Company in the same period to pay for applicable income tax withholdings of $11,165. During the six months ended June 30, 2024, the Company issued 2,474,063 shares of Class B common stock to DCP participants in connection with distributions from the plan. There were no shares sold back to the Company as they were issued on a gross basis during the six months ended June 30, 2024.</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the Company issued 49,545 shares of Class B common stock in connection with Bonus Plan incentive compensation, net of 20,779 shares which were sold back to the Company in the same period to pay for applicable income tax withholdings of $902. During the six months ended June 30, 2024, the Company issued 168,291 shares of Class B common stock in connection with the Bonus Plan incentive compensation. There were no shares sold back to the Company as they were issued on a gross basis during the six months ended June 30, 2024.</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2024, the Company issued 844,283 shares of Class B common stock to colleagues who exercised their stock options, net of 67,146 shares withheld at exercise to pay for the cost of the stock options, as well as for $2,195 of applicable income tax withholdings. The Company received $4,007 in cash proceeds from the exercise of stock options. The total intrinsic value of stock options exercised for the six months ended June 30, 2024 was $40,775.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Dividends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declared cash dividends during the periods presented as follows:</w:t>
      </w:r>
    </w:p>
    <w:tbl>
      <w:tblPr>
        <w:tblW w:w="3603" w:type="dxa"/>
        <w:jc w:val="center"/>
        <w:tblInd w:w="0" w:type="dxa"/>
        <w:tblLayout w:type="fixed"/>
        <w:tblCellMar>
          <w:top w:w="28" w:type="dxa"/>
          <w:left w:w="28" w:type="dxa"/>
          <w:bottom w:w="28" w:type="dxa"/>
          <w:right w:w="28" w:type="dxa"/>
        </w:tblCellMar>
      </w:tblPr>
      <w:tblGrid>
        <w:gridCol w:w="483"/>
        <w:gridCol w:w="424"/>
        <w:gridCol w:w="428"/>
        <w:gridCol w:w="217"/>
        <w:gridCol w:w="526"/>
        <w:gridCol w:w="112"/>
        <w:gridCol w:w="109"/>
        <w:gridCol w:w="109"/>
        <w:gridCol w:w="109"/>
        <w:gridCol w:w="211"/>
        <w:gridCol w:w="721"/>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8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Second quarter</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First quarter</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Global Employee Stock Purchase Plan</w:t>
      </w:r>
    </w:p>
    <w:p>
      <w:pPr>
        <w:pStyle w:val="TextBody"/>
        <w:bidi w:val="0"/>
        <w:spacing w:lineRule="auto" w:line="288" w:before="0" w:after="200"/>
        <w:ind w:left="0" w:right="0" w:firstLine="360"/>
        <w:jc w:val="both"/>
        <w:rPr/>
      </w:pPr>
      <w:r>
        <w:rPr>
          <w:rFonts w:ascii="Times New Roman;serif" w:hAnsi="Times New Roman;serif"/>
          <w:b w:val="false"/>
          <w:color w:val="000000"/>
          <w:sz w:val="20"/>
        </w:rPr>
        <w:t xml:space="preserve">During the six months ended June 30, 2025, colleagues who elected to participate in the Bentley Systems, Incorporated Global Employee Stock Purchase Plan (the “ESPP”) purchased a total of 130,212 shares of Class B common stock, net of shares withheld, resulting in cash proceeds to the Company of $5,312. Of the total 133,840 shares purchased, 3,628 shares were sold back to the Company to pay for applicable income tax withholdings of $169. During the six months ended June 30, 2024, colleagues who elected to participate in the ESPP purchased a total of 122,020 shares of Class B common stock, net of shares withheld, resulting in cash proceeds to the Company of $5,560. Of the total 125,374 shares purchased, 3,354 shares were sold back to the Company to pay for applicable income tax withholdings of $175. As of June 30, 2025 and December 31, 2024, $6,271 and $5,577 of ESPP withholdings via colleague payroll deduction were recorded in </w:t>
      </w:r>
      <w:r>
        <w:rPr>
          <w:rFonts w:ascii="Times New Roman;serif" w:hAnsi="Times New Roman;serif"/>
          <w:b w:val="false"/>
          <w:i/>
          <w:color w:val="000000"/>
          <w:sz w:val="20"/>
        </w:rPr>
        <w:t>Accruals and other current liabilities</w:t>
      </w:r>
      <w:r>
        <w:rPr>
          <w:color w:val="000000"/>
        </w:rPr>
        <w:t xml:space="preserve"> </w:t>
      </w:r>
      <w:r>
        <w:rPr>
          <w:rFonts w:ascii="Times New Roman;serif" w:hAnsi="Times New Roman;serif"/>
          <w:b w:val="false"/>
          <w:color w:val="000000"/>
          <w:sz w:val="20"/>
        </w:rPr>
        <w:t>in the consolidated balance sheets, respectively. As of June 30, 2025, shares of Class B common stock available for future issuance under the ESPP were 23,888,248.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14: Accumulated Other Comprehensive Loss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loss consists of the following during the three months ended June 30, 2025 and 2024:</w:t>
      </w:r>
    </w:p>
    <w:tbl>
      <w:tblPr>
        <w:tblW w:w="10205" w:type="dxa"/>
        <w:jc w:val="center"/>
        <w:tblInd w:w="0" w:type="dxa"/>
        <w:tblLayout w:type="fixed"/>
        <w:tblCellMar>
          <w:top w:w="28" w:type="dxa"/>
          <w:left w:w="28" w:type="dxa"/>
          <w:bottom w:w="28" w:type="dxa"/>
          <w:right w:w="28" w:type="dxa"/>
        </w:tblCellMar>
      </w:tblPr>
      <w:tblGrid>
        <w:gridCol w:w="2198"/>
        <w:gridCol w:w="1891"/>
        <w:gridCol w:w="1890"/>
        <w:gridCol w:w="211"/>
        <w:gridCol w:w="789"/>
        <w:gridCol w:w="109"/>
        <w:gridCol w:w="109"/>
        <w:gridCol w:w="109"/>
        <w:gridCol w:w="109"/>
        <w:gridCol w:w="331"/>
        <w:gridCol w:w="811"/>
        <w:gridCol w:w="164"/>
        <w:gridCol w:w="109"/>
        <w:gridCol w:w="109"/>
        <w:gridCol w:w="109"/>
        <w:gridCol w:w="211"/>
        <w:gridCol w:w="789"/>
        <w:gridCol w:w="157"/>
      </w:tblGrid>
      <w:tr>
        <w:trPr/>
        <w:tc>
          <w:tcPr>
            <w:tcW w:w="2198"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2025</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(97,583)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28,500 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(69,095)</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198"/>
        <w:gridCol w:w="1890"/>
        <w:gridCol w:w="1891"/>
        <w:gridCol w:w="211"/>
        <w:gridCol w:w="789"/>
        <w:gridCol w:w="109"/>
        <w:gridCol w:w="109"/>
        <w:gridCol w:w="109"/>
        <w:gridCol w:w="109"/>
        <w:gridCol w:w="331"/>
        <w:gridCol w:w="811"/>
        <w:gridCol w:w="164"/>
        <w:gridCol w:w="109"/>
        <w:gridCol w:w="109"/>
        <w:gridCol w:w="109"/>
        <w:gridCol w:w="211"/>
        <w:gridCol w:w="789"/>
        <w:gridCol w:w="157"/>
      </w:tblGrid>
      <w:tr>
        <w:trPr/>
        <w:tc>
          <w:tcPr>
            <w:tcW w:w="2198"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(92,619)</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Accumulated other comprehensive loss consists of the following during the six months ended June 30, 2025 and 2024:</w:t>
      </w:r>
    </w:p>
    <w:tbl>
      <w:tblPr>
        <w:tblW w:w="10205" w:type="dxa"/>
        <w:jc w:val="center"/>
        <w:tblInd w:w="0" w:type="dxa"/>
        <w:tblLayout w:type="fixed"/>
        <w:tblCellMar>
          <w:top w:w="28" w:type="dxa"/>
          <w:left w:w="28" w:type="dxa"/>
          <w:bottom w:w="28" w:type="dxa"/>
          <w:right w:w="28" w:type="dxa"/>
        </w:tblCellMar>
      </w:tblPr>
      <w:tblGrid>
        <w:gridCol w:w="2145"/>
        <w:gridCol w:w="1817"/>
        <w:gridCol w:w="1825"/>
        <w:gridCol w:w="211"/>
        <w:gridCol w:w="892"/>
        <w:gridCol w:w="109"/>
        <w:gridCol w:w="109"/>
        <w:gridCol w:w="109"/>
        <w:gridCol w:w="109"/>
        <w:gridCol w:w="331"/>
        <w:gridCol w:w="799"/>
        <w:gridCol w:w="161"/>
        <w:gridCol w:w="109"/>
        <w:gridCol w:w="109"/>
        <w:gridCol w:w="109"/>
        <w:gridCol w:w="211"/>
        <w:gridCol w:w="892"/>
        <w:gridCol w:w="158"/>
      </w:tblGrid>
      <w:tr>
        <w:trPr/>
        <w:tc>
          <w:tcPr>
            <w:tcW w:w="2145"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18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2024</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(104,078)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before taxes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35,007 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taxes</w:t>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34,991 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(69,095)</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203"/>
        <w:gridCol w:w="1884"/>
        <w:gridCol w:w="1892"/>
        <w:gridCol w:w="211"/>
        <w:gridCol w:w="789"/>
        <w:gridCol w:w="109"/>
        <w:gridCol w:w="109"/>
        <w:gridCol w:w="109"/>
        <w:gridCol w:w="109"/>
        <w:gridCol w:w="331"/>
        <w:gridCol w:w="811"/>
        <w:gridCol w:w="164"/>
        <w:gridCol w:w="109"/>
        <w:gridCol w:w="109"/>
        <w:gridCol w:w="109"/>
        <w:gridCol w:w="211"/>
        <w:gridCol w:w="789"/>
        <w:gridCol w:w="157"/>
      </w:tblGrid>
      <w:tr>
        <w:trPr/>
        <w:tc>
          <w:tcPr>
            <w:tcW w:w="2203"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Actuarial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Gain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Retirement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(84,987)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before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Tax expense</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 net of taxes</w:t>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(8,277)</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9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Other comprehensive income (loss) attributable to noncontrolling interest</w:t>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(93,264)</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15: Stock-Based Compensation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w:t>
        <w:noBreakHyphen/>
        <w:t>based compensation expense consists of the following:</w:t>
      </w:r>
    </w:p>
    <w:tbl>
      <w:tblPr>
        <w:tblW w:w="9855" w:type="dxa"/>
        <w:jc w:val="center"/>
        <w:tblInd w:w="0" w:type="dxa"/>
        <w:tblLayout w:type="fixed"/>
        <w:tblCellMar>
          <w:top w:w="28" w:type="dxa"/>
          <w:left w:w="28" w:type="dxa"/>
          <w:bottom w:w="28" w:type="dxa"/>
          <w:right w:w="28" w:type="dxa"/>
        </w:tblCellMar>
      </w:tblPr>
      <w:tblGrid>
        <w:gridCol w:w="1687"/>
        <w:gridCol w:w="1486"/>
        <w:gridCol w:w="149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687"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Restricted stock and RSUs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Bonus Plan expense (see Note 11)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ESPP expense (see Note 13)</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grants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DCP elective participant deferrals expense (see Note 12)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stock-based compensation expense </w:t>
            </w:r>
            <w:r>
              <w:rPr>
                <w:rFonts w:ascii="Times New Roman;serif" w:hAnsi="Times New Roman;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pPr>
      <w:r>
        <w:rPr>
          <w:rFonts w:ascii="Times New Roman;serif" w:hAnsi="Times New Roman;serif"/>
          <w:b w:val="false"/>
          <w:color w:val="000000"/>
          <w:sz w:val="18"/>
        </w:rPr>
        <w:t xml:space="preserve">(1)As of June 30, 2025 and December 31, 2024, $2,053 and $1,556 remained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stock</w:t>
        <w:noBreakHyphen/>
        <w:t>based compensation expense (income) is included in the consolidated statements of operations as follows:</w:t>
      </w:r>
    </w:p>
    <w:tbl>
      <w:tblPr>
        <w:tblW w:w="8640" w:type="dxa"/>
        <w:jc w:val="center"/>
        <w:tblInd w:w="0" w:type="dxa"/>
        <w:tblLayout w:type="fixed"/>
        <w:tblCellMar>
          <w:top w:w="28" w:type="dxa"/>
          <w:left w:w="28" w:type="dxa"/>
          <w:bottom w:w="28" w:type="dxa"/>
          <w:right w:w="28" w:type="dxa"/>
        </w:tblCellMar>
      </w:tblPr>
      <w:tblGrid>
        <w:gridCol w:w="1250"/>
        <w:gridCol w:w="1097"/>
        <w:gridCol w:w="1103"/>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Stock</w:t>
        <w:noBreakHyphen/>
        <w:t>based compensation expense is measured at the grant date fair value of the award and is recognized ratably over the requisite service period, which is generally the vesting period. Specifically for performance</w:t>
        <w:noBreakHyphen/>
        <w:t>based RSUs, stock</w:t>
        <w:noBreakHyphen/>
        <w:t>based compensation expense is measured at the grant date fair value of the award and is recognized ratably over the requisite service period based on the number of awards expected to vest at each reporting date. The Company accounts for forfeitures of equity awards as those forfeitures occur.</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Bentley Systems, Incorporated 2020 Omnibus Incentive Plan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2020 Plan provides for the granting of stock, stock options, restricted stock, RSUs, and other stock</w:t>
        <w:noBreakHyphen/>
        <w:t>based or performance</w:t>
        <w:noBreakHyphen/>
        <w:t>based awards to certain directors, officers, colleagues, consultants, and advisors of the Company, and terminates in September 2030. The 2020 Plan provides that 25,000,000 shares of Class B common stock may be issued for equity awards. Equity awards that are expired, canceled, forfeited, or terminated for any reason will be available for future grant under the 2020 Plan. As of June 30, 2025, equity awards available for future grants under the 2020 Plan were 18,371,952.</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Restricted Stock and RSUs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2020 Plan, the Company may grant both time</w:t>
        <w:noBreakHyphen/>
        <w:t>based and performance</w:t>
        <w:noBreakHyphen/>
        <w:t>based shares of restricted Class B common stock and RSUs to eligible colleagues. Time</w:t>
        <w:noBreakHyphen/>
        <w:t>based awards generally vest ratably on each of the first four anniversaries of the grant date. Performance</w:t>
        <w:noBreakHyphen/>
        <w:t>based awards vesting is determined by the achievement of certain business growth targets, which include growth in annualized recurring revenues (“ARR”), as well as actual bookings for perpetual licenses and non</w:t>
        <w:noBreakHyphen/>
        <w:t>recurring services. Performance targets are generally set for annual performance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unvested RSUs activity and related information:</w:t>
      </w:r>
    </w:p>
    <w:tbl>
      <w:tblPr>
        <w:tblW w:w="9598" w:type="dxa"/>
        <w:jc w:val="center"/>
        <w:tblInd w:w="0" w:type="dxa"/>
        <w:tblLayout w:type="fixed"/>
        <w:tblCellMar>
          <w:top w:w="28" w:type="dxa"/>
          <w:left w:w="28" w:type="dxa"/>
          <w:bottom w:w="28" w:type="dxa"/>
          <w:right w:w="28" w:type="dxa"/>
        </w:tblCellMar>
      </w:tblPr>
      <w:tblGrid>
        <w:gridCol w:w="923"/>
        <w:gridCol w:w="811"/>
        <w:gridCol w:w="816"/>
        <w:gridCol w:w="524"/>
        <w:gridCol w:w="526"/>
        <w:gridCol w:w="166"/>
        <w:gridCol w:w="109"/>
        <w:gridCol w:w="109"/>
        <w:gridCol w:w="109"/>
        <w:gridCol w:w="488"/>
        <w:gridCol w:w="488"/>
        <w:gridCol w:w="178"/>
        <w:gridCol w:w="109"/>
        <w:gridCol w:w="109"/>
        <w:gridCol w:w="109"/>
        <w:gridCol w:w="449"/>
        <w:gridCol w:w="451"/>
        <w:gridCol w:w="371"/>
        <w:gridCol w:w="109"/>
        <w:gridCol w:w="109"/>
        <w:gridCol w:w="109"/>
        <w:gridCol w:w="213"/>
        <w:gridCol w:w="622"/>
        <w:gridCol w:w="110"/>
        <w:gridCol w:w="109"/>
        <w:gridCol w:w="109"/>
        <w:gridCol w:w="109"/>
        <w:gridCol w:w="247"/>
        <w:gridCol w:w="725"/>
        <w:gridCol w:w="182"/>
      </w:tblGrid>
      <w:tr>
        <w:trPr/>
        <w:tc>
          <w:tcPr>
            <w:tcW w:w="92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 Date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2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 Share</w:t>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December 31, 2024</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3,417,009 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3,067,703 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(1)</w:t>
            </w:r>
          </w:p>
        </w:tc>
        <w:tc>
          <w:tcPr>
            <w:tcW w:w="9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349,306 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(2)</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1,741,125 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1,524,619 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216,506 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(1,145,903)</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(830,999)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(314,904)</w:t>
            </w:r>
          </w:p>
        </w:tc>
        <w:tc>
          <w:tcPr>
            <w:tcW w:w="3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 and canceled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(127,474)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(3,141)</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June 30, 2025</w:t>
            </w:r>
          </w:p>
        </w:tc>
        <w:tc>
          <w:tcPr>
            <w:tcW w:w="10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3,881,616 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3,633,849 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247,767 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43.97 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42.23 </w:t>
            </w:r>
          </w:p>
        </w:tc>
        <w:tc>
          <w:tcPr>
            <w:tcW w:w="18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erif" w:hAnsi="Times New Roman;serif"/>
          <w:b w:val="false"/>
          <w:color w:val="231F20"/>
          <w:sz w:val="18"/>
        </w:rPr>
        <w:t>(1)</w:t>
      </w:r>
      <w:r>
        <w:rPr>
          <w:rFonts w:ascii="Times New Roman;serif" w:hAnsi="Times New Roman;serif"/>
          <w:b w:val="false"/>
          <w:color w:val="000000"/>
          <w:sz w:val="18"/>
        </w:rPr>
        <w:t>Includes 175,928 time</w:t>
        <w:noBreakHyphen/>
        <w:t>based RSUs granted during the three months ended March 31, 2022 to certain officers and key employees, which cliff vested on January 31, 2025. Additionally, includes 300,964 time</w:t>
        <w:noBreakHyphen/>
        <w:t>based RSUs granted during the three months ended June 30, 2024 to certain officers, which vest 20% on each of December 15, 2025, 2026, 2027, 2028, and 2029.</w:t>
      </w:r>
    </w:p>
    <w:p>
      <w:pPr>
        <w:pStyle w:val="TextBody"/>
        <w:bidi w:val="0"/>
        <w:spacing w:lineRule="auto" w:line="288" w:before="0" w:after="60"/>
        <w:ind w:left="0" w:right="0" w:hanging="360"/>
        <w:jc w:val="both"/>
        <w:rPr/>
      </w:pPr>
      <w:r>
        <w:rPr>
          <w:rFonts w:ascii="Times New Roman;serif" w:hAnsi="Times New Roman;serif"/>
          <w:b w:val="false"/>
          <w:color w:val="231F20"/>
          <w:sz w:val="18"/>
        </w:rPr>
        <w:t>(2)</w:t>
      </w:r>
      <w:r>
        <w:rPr>
          <w:rFonts w:ascii="Times New Roman;serif" w:hAnsi="Times New Roman;serif"/>
          <w:b w:val="false"/>
          <w:color w:val="000000"/>
          <w:sz w:val="18"/>
        </w:rPr>
        <w:t>Primarily relates to the 2024 annual performance period. Includes 162,038 performance</w:t>
        <w:noBreakHyphen/>
        <w:t>based RSUs granted during the year ended December 31, 2022 with extraordinary terms, which are described below.</w:t>
      </w:r>
    </w:p>
    <w:p>
      <w:pPr>
        <w:pStyle w:val="TextBody"/>
        <w:bidi w:val="0"/>
        <w:spacing w:lineRule="auto" w:line="288" w:before="0" w:after="60"/>
        <w:ind w:left="0" w:right="0" w:hanging="360"/>
        <w:jc w:val="both"/>
        <w:rPr/>
      </w:pPr>
      <w:r>
        <w:rPr>
          <w:rFonts w:ascii="Times New Roman;serif" w:hAnsi="Times New Roman;serif"/>
          <w:b w:val="false"/>
          <w:color w:val="231F20"/>
          <w:sz w:val="18"/>
        </w:rPr>
        <w:t>(3)</w:t>
      </w:r>
      <w:r>
        <w:rPr>
          <w:rFonts w:ascii="Times New Roman;serif" w:hAnsi="Times New Roman;serif"/>
          <w:b w:val="false"/>
          <w:color w:val="000000"/>
          <w:sz w:val="18"/>
        </w:rPr>
        <w:t>Primarily relates to the 2025 annual performance period. Includes 10,493 additional shares earned based on the achievement of 2024 performance goals for performance-based RSUs granted during the year ended December 31, 2024.</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(4)Includes 42,841 RSUs which are expected to be settled in cash.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2022, the Company granted 185,186 performance</w:t>
        <w:noBreakHyphen/>
        <w:t>based RSUs to certain officers and key employees, which vest subject to the achievement of certain performance goals over a three</w:t>
        <w:noBreakHyphen/>
        <w:t>year performance period (the “Performance Period”). For each year of the Performance Period, one</w:t>
        <w:noBreakHyphen/>
        <w:t>third of the performance</w:t>
        <w:noBreakHyphen/>
        <w:t>based RSUs were subject to a cliff, whereby no vesting of that portion would occur unless the Company’s applicable margin metrics (which, for 2022 was Adjusted EBITDA margin, and for 2023 and 2024 was AOI less SBC margin, excluding the impact of foreign currency exchange fluctuations) also equaled or exceeded the relevant target level for such year. Provided that the applicable margin targets were met, the total number of performance</w:t>
        <w:noBreakHyphen/>
        <w:t>based RSUs that vested were determined by the achievement of growth targets, which included growth in ARR, as well as actual bookings for perpetual licenses and non</w:t>
        <w:noBreakHyphen/>
        <w:t>recurring services. As of December 31, 2024, 162,038 of the aforementioned performance</w:t>
        <w:noBreakHyphen/>
        <w:t>based RSUs were outstanding. On January 31, 2025, 162,038 performance</w:t>
        <w:noBreakHyphen/>
        <w:t>based RSUs were determined to be vested based on the achievement of the performance goals during the Performance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grant date fair values of RSUs granted were $40.54 and $50.66, for the six months ended June 30, 2025 and 2024,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and 2024, restricted stock and RSUs were issued net of 276,569 and 142,407 shares, respectively, which were sold back to the Company to settle applicable income tax withholdings of $12,543 and $7,256,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there was $124,907 of unrecognized compensation expense related to unvested time</w:t>
        <w:noBreakHyphen/>
        <w:t>based RSUs, which is expected to be recognized over a weighted average period of approximately 2.0 years. As of June 30, 2025, there was $6,769 of unrecognized compensation expense related to unvested performance</w:t>
        <w:noBreakHyphen/>
        <w:t>based RSUs, which is expected to be recognized over a weighted average period of approximately 0.7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Stock Grants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and 2024, the Company granted 12,591 and 11,391 fully vested shares of Class B common stock, respectively, with a fair value of $600.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16: Income Taxes</w:t>
      </w:r>
    </w:p>
    <w:p>
      <w:pPr>
        <w:pStyle w:val="TextBody"/>
        <w:bidi w:val="0"/>
        <w:spacing w:lineRule="auto" w:line="288" w:before="0" w:after="200"/>
        <w:ind w:left="0" w:right="0" w:firstLine="360"/>
        <w:jc w:val="both"/>
        <w:rPr/>
      </w:pPr>
      <w:r>
        <w:rPr>
          <w:rFonts w:ascii="Times New Roman;serif" w:hAnsi="Times New Roman;serif"/>
          <w:b w:val="false"/>
          <w:color w:val="000000"/>
          <w:sz w:val="20"/>
        </w:rPr>
        <w:t>The following is a summary of</w:t>
      </w:r>
      <w:r>
        <w:rPr>
          <w:color w:val="000000"/>
        </w:rPr>
        <w:t xml:space="preserve"> </w:t>
      </w:r>
      <w:r>
        <w:rPr>
          <w:rFonts w:ascii="Times New Roman;serif" w:hAnsi="Times New Roman;serif"/>
          <w:b w:val="false"/>
          <w:i/>
          <w:color w:val="000000"/>
          <w:sz w:val="20"/>
        </w:rPr>
        <w:t>Income before income taxes</w:t>
      </w:r>
      <w:r>
        <w:rPr>
          <w:rFonts w:ascii="Times New Roman;serif" w:hAnsi="Times New Roman;serif"/>
          <w:b w:val="false"/>
          <w:color w:val="000000"/>
          <w:sz w:val="20"/>
        </w:rPr>
        <w:t xml:space="preserve">, </w:t>
      </w:r>
      <w:r>
        <w:rPr>
          <w:rFonts w:ascii="Times New Roman;serif" w:hAnsi="Times New Roman;serif"/>
          <w:b w:val="false"/>
          <w:i/>
          <w:color w:val="000000"/>
          <w:sz w:val="20"/>
        </w:rPr>
        <w:t>Provision for income taxes</w:t>
      </w:r>
      <w:r>
        <w:rPr>
          <w:rFonts w:ascii="Times New Roman;serif" w:hAnsi="Times New Roman;serif"/>
          <w:b w:val="false"/>
          <w:color w:val="000000"/>
          <w:sz w:val="20"/>
        </w:rPr>
        <w:t>, and effective tax rate for the periods presented:</w:t>
      </w:r>
    </w:p>
    <w:tbl>
      <w:tblPr>
        <w:tblW w:w="8432" w:type="dxa"/>
        <w:jc w:val="center"/>
        <w:tblInd w:w="0" w:type="dxa"/>
        <w:tblLayout w:type="fixed"/>
        <w:tblCellMar>
          <w:top w:w="28" w:type="dxa"/>
          <w:left w:w="28" w:type="dxa"/>
          <w:bottom w:w="28" w:type="dxa"/>
          <w:right w:w="28" w:type="dxa"/>
        </w:tblCellMar>
      </w:tblPr>
      <w:tblGrid>
        <w:gridCol w:w="863"/>
        <w:gridCol w:w="757"/>
        <w:gridCol w:w="76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169,905 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the effective tax rate was higher compared to the same period in the prior year primarily due to the impact of a decrease in discrete tax benefits recognized, partially offset by the decrease in forecasted effective tax rate impact of U.S. international tax provisions. For the three months ended June 30, 2025 and 2024, the Company recorded discrete tax benefits of $8,114 and $18,543, respectively, primarily associated with windfall tax benefits from stock</w:t>
        <w:noBreakHyphen/>
        <w:t>based compensation, net of the impact from officer compensation limitation provisions.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effective tax rate was lower as compared to the same period in the prior year primarily due to the impact of the decrease in forecasted effective tax rate impact of U.S. international tax provisions, partially offset by a decrease in discrete tax benefits recognized. For the six months ended June 30, 2025 and 2024, the Company recorded discrete tax benefits of $13,187 and $20,681, respectively, primarily associated with windfall tax benefits from stock</w:t>
        <w:noBreakHyphen/>
        <w:t>based compensation, net of the impact from officer compensation limitation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17: Fair Value of Financial Instruments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financial asset or liability classification is determined based on the lowest level input that is significant to the fair value measurement. The fair value hierarchy consists of the following three levels: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1 inputs are quoted prices (unadjusted) in active markets for identical assets or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2 inputs are quoted prices for similar assets and liabilities in active markets or inputs that are observable for the asset or liability, either directly or indirectly through market corroboration, for substantially the full term of the financial instrument.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Level 3 inputs are unobservable inputs based on management’s own assumptions used to measure assets and liabilities at fair value.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instruments include cash equivalents, account receivables, certain other assets, accounts payable, accruals, certain other current and long</w:t>
        <w:noBreakHyphen/>
        <w:t>term liabilities, and long</w:t>
        <w:noBreakHyphen/>
        <w:t>term debt.</w:t>
      </w:r>
    </w:p>
    <w:p>
      <w:pPr>
        <w:pStyle w:val="TextBody"/>
        <w:bidi w:val="0"/>
        <w:spacing w:lineRule="auto" w:line="288" w:before="0" w:after="200"/>
        <w:ind w:left="0" w:right="0" w:firstLine="360"/>
        <w:jc w:val="both"/>
        <w:rPr/>
      </w:pPr>
      <w:r>
        <w:rPr>
          <w:rFonts w:ascii="Times New Roman;serif" w:hAnsi="Times New Roman;serif"/>
          <w:b/>
          <w:i/>
          <w:color w:val="000000"/>
          <w:sz w:val="20"/>
        </w:rPr>
        <w:t>Current Assets and Current Liabilities</w:t>
      </w:r>
      <w:r>
        <w:rPr>
          <w:color w:val="000000"/>
        </w:rPr>
        <w:t xml:space="preserve"> — </w:t>
      </w:r>
      <w:r>
        <w:rPr>
          <w:rFonts w:ascii="Times New Roman;serif" w:hAnsi="Times New Roman;serif"/>
          <w:b w:val="false"/>
          <w:color w:val="000000"/>
          <w:sz w:val="20"/>
        </w:rPr>
        <w:t>In general, the carrying amounts reported on the Company’s consolidated balance sheets for current assets and current liabilities approximate their fair values due to the short</w:t>
        <w:noBreakHyphen/>
        <w:t>term nature of those instruments.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methods and assumptions were used by the Company in estimating its fair value measurements for Level 2 financial instruments as of June 30, 2025 and December 31, 2024:</w:t>
      </w:r>
    </w:p>
    <w:p>
      <w:pPr>
        <w:pStyle w:val="TextBody"/>
        <w:bidi w:val="0"/>
        <w:spacing w:lineRule="auto" w:line="288" w:before="0" w:after="200"/>
        <w:ind w:left="0" w:right="0" w:firstLine="360"/>
        <w:jc w:val="both"/>
        <w:rPr/>
      </w:pPr>
      <w:r>
        <w:rPr>
          <w:rFonts w:ascii="Times New Roman;serif" w:hAnsi="Times New Roman;serif"/>
          <w:b/>
          <w:i/>
          <w:color w:val="000000"/>
          <w:sz w:val="20"/>
        </w:rPr>
        <w:t>Interest Rate Swap</w:t>
      </w:r>
      <w:r>
        <w:rPr>
          <w:color w:val="000000"/>
        </w:rPr>
        <w:t xml:space="preserve"> — </w:t>
      </w:r>
      <w:r>
        <w:rPr>
          <w:rFonts w:ascii="Times New Roman;serif" w:hAnsi="Times New Roman;serif"/>
          <w:b w:val="false"/>
          <w:color w:val="000000"/>
          <w:sz w:val="20"/>
        </w:rPr>
        <w:t>The fair value of the Company’s interest rate swap asset or liability is determined using an income approach and is measured based on the implied forward rates for the remaining term of the interest rate swap. The Company considers these valuation inputs to be Level 2 inputs in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pPr>
      <w:r>
        <w:rPr>
          <w:rFonts w:ascii="Times New Roman;serif" w:hAnsi="Times New Roman;serif"/>
          <w:b/>
          <w:i/>
          <w:color w:val="000000"/>
          <w:sz w:val="20"/>
        </w:rPr>
        <w:t>Long-Term Debt</w:t>
      </w:r>
      <w:r>
        <w:rPr>
          <w:color w:val="000000"/>
        </w:rPr>
        <w:t xml:space="preserve"> — </w:t>
      </w:r>
      <w:r>
        <w:rPr>
          <w:rFonts w:ascii="Times New Roman;serif" w:hAnsi="Times New Roman;serif"/>
          <w:b w:val="false"/>
          <w:color w:val="000000"/>
          <w:sz w:val="20"/>
        </w:rPr>
        <w:t>The fair value of the Company’s borrowings under its Credit Facility approximated its carrying value based upon discounted cash flows at current market rates for instruments with similar remaining terms. The Company considers these valuation inputs to be Level 2 inputs in the fair value hierarchy. As of June 30, 2025, the estimated fair value of the 2026 Notes and 2027 Notes was $672,089 and $541,938, respectively. As of December 31, 2024, the estimated fair value of the 2026 Notes and 2027 Notes was $671,123 and $519,271, respectively. The estimated fair value of the 2026 Notes and 2027 Notes is based on quoted market prices of the Company’s instrument in markets that are not active and are classified as Level 2 within the fair value hierarchy. Considerable judgment is necessary to interpret the market data and develop estimates of fair values. Accordingly, the estimates presented are not necessarily indicative of the amounts at which these instruments could be purchased, sold, or settled.</w:t>
      </w:r>
    </w:p>
    <w:p>
      <w:pPr>
        <w:pStyle w:val="TextBody"/>
        <w:bidi w:val="0"/>
        <w:spacing w:lineRule="auto" w:line="288" w:before="0" w:after="200"/>
        <w:ind w:left="0" w:right="0" w:firstLine="360"/>
        <w:jc w:val="both"/>
        <w:rPr/>
      </w:pPr>
      <w:r>
        <w:rPr>
          <w:rFonts w:ascii="Times New Roman;serif" w:hAnsi="Times New Roman;serif"/>
          <w:b/>
          <w:i/>
          <w:color w:val="000000"/>
          <w:sz w:val="20"/>
        </w:rPr>
        <w:t>Deferred Compensation Plan Liabilities</w:t>
      </w:r>
      <w:r>
        <w:rPr>
          <w:color w:val="000000"/>
        </w:rPr>
        <w:t xml:space="preserve"> — </w:t>
      </w:r>
      <w:r>
        <w:rPr>
          <w:rFonts w:ascii="Times New Roman;serif" w:hAnsi="Times New Roman;serif"/>
          <w:b w:val="false"/>
          <w:color w:val="000000"/>
          <w:sz w:val="20"/>
        </w:rPr>
        <w:t>The fair value of deferred compensation plan liabilities, including the liability classified phantom investments in the DCP, are marked to market at the end of each reporting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assets and financial liabilities carried at fair value measured on a recurring basis consist of the following:</w:t>
      </w:r>
    </w:p>
    <w:tbl>
      <w:tblPr>
        <w:tblW w:w="7684" w:type="dxa"/>
        <w:jc w:val="center"/>
        <w:tblInd w:w="0" w:type="dxa"/>
        <w:tblLayout w:type="fixed"/>
        <w:tblCellMar>
          <w:top w:w="28" w:type="dxa"/>
          <w:left w:w="28" w:type="dxa"/>
          <w:bottom w:w="28" w:type="dxa"/>
          <w:right w:w="28" w:type="dxa"/>
        </w:tblCellMar>
      </w:tblPr>
      <w:tblGrid>
        <w:gridCol w:w="1242"/>
        <w:gridCol w:w="1095"/>
        <w:gridCol w:w="1097"/>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Money market funds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compensation plan liabilities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Cash-settled equity awards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103,464 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685" w:type="dxa"/>
        <w:jc w:val="center"/>
        <w:tblInd w:w="0" w:type="dxa"/>
        <w:tblLayout w:type="fixed"/>
        <w:tblCellMar>
          <w:top w:w="28" w:type="dxa"/>
          <w:left w:w="28" w:type="dxa"/>
          <w:bottom w:w="28" w:type="dxa"/>
          <w:right w:w="28" w:type="dxa"/>
        </w:tblCellMar>
      </w:tblPr>
      <w:tblGrid>
        <w:gridCol w:w="1245"/>
        <w:gridCol w:w="1092"/>
        <w:gridCol w:w="1098"/>
        <w:gridCol w:w="211"/>
        <w:gridCol w:w="826"/>
        <w:gridCol w:w="109"/>
        <w:gridCol w:w="109"/>
        <w:gridCol w:w="109"/>
        <w:gridCol w:w="109"/>
        <w:gridCol w:w="211"/>
        <w:gridCol w:w="721"/>
        <w:gridCol w:w="109"/>
        <w:gridCol w:w="109"/>
        <w:gridCol w:w="109"/>
        <w:gridCol w:w="109"/>
        <w:gridCol w:w="109"/>
        <w:gridCol w:w="109"/>
        <w:gridCol w:w="211"/>
        <w:gridCol w:w="82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December 31, 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Money market funds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Interest rate swap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Deferred compensation plan liabilities </w:t>
            </w:r>
            <w:r>
              <w:rPr>
                <w:rFonts w:ascii="Times New Roman;serif" w:hAnsi="Times New Roman;serif"/>
                <w:b w:val="false"/>
                <w:color w:val="000000"/>
                <w:sz w:val="13"/>
              </w:rPr>
              <w:t>(3)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Cash-settled equity awards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(1)Included in </w:t>
      </w:r>
      <w:r>
        <w:rPr>
          <w:rFonts w:ascii="Times New Roman;serif" w:hAnsi="Times New Roman;serif"/>
          <w:b w:val="false"/>
          <w:i/>
          <w:color w:val="000000"/>
          <w:sz w:val="18"/>
        </w:rPr>
        <w:t>Cash and cash equivalents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(2)Included in </w:t>
      </w:r>
      <w:r>
        <w:rPr>
          <w:rFonts w:ascii="Times New Roman;serif" w:hAnsi="Times New Roman;serif"/>
          <w:b w:val="false"/>
          <w:i/>
          <w:color w:val="000000"/>
          <w:sz w:val="18"/>
        </w:rPr>
        <w:t>Other assets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60"/>
        <w:ind w:left="0" w:right="0" w:hanging="360"/>
        <w:jc w:val="both"/>
        <w:rPr/>
      </w:pPr>
      <w:r>
        <w:rPr>
          <w:rFonts w:ascii="Times New Roman;serif" w:hAnsi="Times New Roman;serif"/>
          <w:b w:val="false"/>
          <w:color w:val="000000"/>
          <w:sz w:val="18"/>
        </w:rPr>
        <w:t xml:space="preserve">(3)Included in </w:t>
      </w:r>
      <w:r>
        <w:rPr>
          <w:rFonts w:ascii="Times New Roman;serif" w:hAnsi="Times New Roman;serif"/>
          <w:b w:val="false"/>
          <w:i/>
          <w:color w:val="000000"/>
          <w:sz w:val="18"/>
        </w:rPr>
        <w:t>Deferred compensation plan liabilities</w:t>
      </w:r>
      <w:r>
        <w:rPr>
          <w:rFonts w:ascii="Times New Roman;serif" w:hAnsi="Times New Roman;serif"/>
          <w:b w:val="false"/>
          <w:color w:val="000000"/>
          <w:sz w:val="18"/>
        </w:rPr>
        <w:t xml:space="preserve">, except for current liabilities of $4,159 and $3,798 as of June 30, 2025 and December 31, 2024, respectively, which are included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w:t>
      </w:r>
    </w:p>
    <w:p>
      <w:pPr>
        <w:pStyle w:val="TextBody"/>
        <w:bidi w:val="0"/>
        <w:spacing w:lineRule="auto" w:line="288" w:before="0" w:after="200"/>
        <w:ind w:left="0" w:right="0" w:hanging="360"/>
        <w:jc w:val="both"/>
        <w:rPr/>
      </w:pPr>
      <w:r>
        <w:rPr>
          <w:rFonts w:ascii="Times New Roman;serif" w:hAnsi="Times New Roman;serif"/>
          <w:b w:val="false"/>
          <w:color w:val="000000"/>
          <w:sz w:val="18"/>
        </w:rPr>
        <w:t xml:space="preserve">(4)Included in </w:t>
      </w:r>
      <w:r>
        <w:rPr>
          <w:rFonts w:ascii="Times New Roman;serif" w:hAnsi="Times New Roman;serif"/>
          <w:b w:val="false"/>
          <w:i/>
          <w:color w:val="000000"/>
          <w:sz w:val="18"/>
        </w:rPr>
        <w:t>Accruals and other current liabilities</w:t>
      </w:r>
      <w:r>
        <w:rPr>
          <w:color w:val="000000"/>
        </w:rPr>
        <w:t xml:space="preserve"> </w:t>
      </w:r>
      <w:r>
        <w:rPr>
          <w:rFonts w:ascii="Times New Roman;serif" w:hAnsi="Times New Roman;serif"/>
          <w:b w:val="false"/>
          <w:color w:val="000000"/>
          <w:sz w:val="18"/>
        </w:rPr>
        <w:t>in the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18: Commitments and Contingencies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Purchase Commitments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normal course of business, the Company enters into various purchase commitments for goods and services. During the six months ended June 30, 2025, the Company did not enter into any non</w:t>
        <w:noBreakHyphen/>
        <w:t>cancelable future cash purchase commitments. During the year ended December 31, 2024, the Company entered into approximately $45,500 of non</w:t>
        <w:noBreakHyphen/>
        <w:t>cancelable future cash purchase commitments for services related to cloud provisioning of the Company’s software solutions and for internal</w:t>
        <w:noBreakHyphen/>
        <w:t>use software costs. As of June 30, 2025, total non</w:t>
        <w:noBreakHyphen/>
        <w:t>cancelable future cash purchase commitments were approximately $88,000 to be paid through September 2029. The Company expects to fully consume its contractual commitments in the ordinary course of operations.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Litigation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involved in certain legal actions arising in the ordinary course of business. In management’s opinion, based upon the advice of counsel, the outcome of such actions is not expected to have a material adverse effect on the Company’s future financial position,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19: Segment and Geographic Information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and manages its business in a single reportable segment, the development and marketing of computer software and related services. The Company defines its chief operating decision maker (“CODM”) to be its Chief Executive Officer, who reviews financial information presented on a consolidated basis. The Company’s reported measures of profit or loss for segment reporting purposes are Net income and AOI less SBC. The CODM is regularly provided Net income and AOI less SBC to understand the Company’s financial and operating results across accounting periods and for comparison of the Company’s results to those of other companies. The CODM regularly reviews AOI less SBC for internal budgeting and forecasting purposes, to evaluate operating performance, and to make decisions on allocation of resources. The CODM does not use segment asset information to evaluate operating performance or allocate resources.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presentation of Net income is included in the Company’s consolidated statements of operations. AOI less SBC is a non</w:t>
        <w:noBreakHyphen/>
        <w:t>GAAP financial measure and is defined as operating income adjusted for the following: amortization of purchased intangibles, expense (income) relating to deferred compensation plan liabilities, acquisition expenses, and realignment expenses (income), for the respective periods.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Reconciliation of operating income to AOI less SBC:</w:t>
      </w:r>
    </w:p>
    <w:tbl>
      <w:tblPr>
        <w:tblW w:w="9749" w:type="dxa"/>
        <w:jc w:val="center"/>
        <w:tblInd w:w="0" w:type="dxa"/>
        <w:tblLayout w:type="fixed"/>
        <w:tblCellMar>
          <w:top w:w="28" w:type="dxa"/>
          <w:left w:w="28" w:type="dxa"/>
          <w:bottom w:w="28" w:type="dxa"/>
          <w:right w:w="28" w:type="dxa"/>
        </w:tblCellMar>
      </w:tblPr>
      <w:tblGrid>
        <w:gridCol w:w="1536"/>
        <w:gridCol w:w="1350"/>
        <w:gridCol w:w="1358"/>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536"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 (see Note 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expenses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Realignment expenses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AOI less SBC</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207,638 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Further explanation of certain of the Company’s adjustments in arriving at AOI less SBC are as follows:</w:t>
      </w:r>
    </w:p>
    <w:p>
      <w:pPr>
        <w:pStyle w:val="TextBody"/>
        <w:bidi w:val="0"/>
        <w:spacing w:lineRule="auto" w:line="288" w:before="0" w:after="120"/>
        <w:ind w:left="0" w:right="0" w:hanging="360"/>
        <w:jc w:val="both"/>
        <w:rPr/>
      </w:pPr>
      <w:r>
        <w:rPr>
          <w:rFonts w:ascii="Times New Roman;serif" w:hAnsi="Times New Roman;serif"/>
          <w:b w:val="false"/>
          <w:color w:val="000000"/>
          <w:sz w:val="18"/>
        </w:rPr>
        <w:t>(1)</w:t>
      </w:r>
      <w:r>
        <w:rPr>
          <w:rFonts w:ascii="Times New Roman;serif" w:hAnsi="Times New Roman;serif"/>
          <w:b w:val="false"/>
          <w:i/>
          <w:color w:val="000000"/>
          <w:sz w:val="18"/>
        </w:rPr>
        <w:t>Acquisition expenses</w:t>
      </w:r>
      <w:r>
        <w:rPr>
          <w:rFonts w:ascii="Times New Roman;serif" w:hAnsi="Times New Roman;serif"/>
          <w:b w:val="false"/>
          <w:color w:val="000000"/>
          <w:sz w:val="18"/>
        </w:rPr>
        <w:t xml:space="preserve">. The Company incurs expenses for professional services rendered in connection with business combinations, which are recorded in </w:t>
      </w:r>
      <w:r>
        <w:rPr>
          <w:rFonts w:ascii="Times New Roman;serif" w:hAnsi="Times New Roman;serif"/>
          <w:b w:val="false"/>
          <w:i/>
          <w:color w:val="000000"/>
          <w:sz w:val="18"/>
        </w:rPr>
        <w:t>General and administrative</w:t>
      </w:r>
      <w:r>
        <w:rPr>
          <w:color w:val="000000"/>
        </w:rPr>
        <w:t xml:space="preserve"> </w:t>
      </w:r>
      <w:r>
        <w:rPr>
          <w:rFonts w:ascii="Times New Roman;serif" w:hAnsi="Times New Roman;serif"/>
          <w:b w:val="false"/>
          <w:color w:val="000000"/>
          <w:sz w:val="18"/>
        </w:rPr>
        <w:t>in the consolidated statements of operations. Also included in the Company’s acquisition expenses are retention incentives paid to executives of the acquired companies.</w:t>
      </w:r>
    </w:p>
    <w:p>
      <w:pPr>
        <w:pStyle w:val="TextBody"/>
        <w:bidi w:val="0"/>
        <w:spacing w:lineRule="auto" w:line="288" w:before="0" w:after="200"/>
        <w:ind w:left="0" w:right="0" w:hanging="360"/>
        <w:jc w:val="both"/>
        <w:rPr/>
      </w:pPr>
      <w:r>
        <w:rPr>
          <w:rFonts w:ascii="Times New Roman;serif" w:hAnsi="Times New Roman;serif"/>
          <w:b w:val="false"/>
          <w:color w:val="000000"/>
          <w:sz w:val="18"/>
        </w:rPr>
        <w:t>(2)</w:t>
      </w:r>
      <w:r>
        <w:rPr>
          <w:rFonts w:ascii="Times New Roman;serif" w:hAnsi="Times New Roman;serif"/>
          <w:b w:val="false"/>
          <w:i/>
          <w:color w:val="000000"/>
          <w:sz w:val="18"/>
        </w:rPr>
        <w:t>Realignment expenses</w:t>
      </w:r>
      <w:r>
        <w:rPr>
          <w:rFonts w:ascii="Times New Roman;serif" w:hAnsi="Times New Roman;serif"/>
          <w:b w:val="false"/>
          <w:color w:val="000000"/>
          <w:sz w:val="18"/>
        </w:rPr>
        <w:t xml:space="preserve">. For the three and six months ended June 30, 2024, </w:t>
      </w:r>
      <w:r>
        <w:rPr>
          <w:rFonts w:ascii="Times New Roman;serif" w:hAnsi="Times New Roman;serif"/>
          <w:b w:val="false"/>
          <w:i/>
          <w:color w:val="000000"/>
          <w:sz w:val="18"/>
        </w:rPr>
        <w:t>Realignment expenses</w:t>
      </w:r>
      <w:r>
        <w:rPr>
          <w:color w:val="000000"/>
        </w:rPr>
        <w:t xml:space="preserve"> </w:t>
      </w:r>
      <w:r>
        <w:rPr>
          <w:rFonts w:ascii="Times New Roman;serif" w:hAnsi="Times New Roman;serif"/>
          <w:b w:val="false"/>
          <w:color w:val="000000"/>
          <w:sz w:val="18"/>
        </w:rPr>
        <w:t>were primarily associated with a strategic realignment program, which the Company initiated during the fourth quarter of 2023 (the “2023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pPr>
      <w:r>
        <w:rPr>
          <w:color w:val="000000"/>
        </w:rPr>
        <w:t>“</w:t>
      </w:r>
      <w:r>
        <w:rPr>
          <w:rFonts w:ascii="Times New Roman;serif" w:hAnsi="Times New Roman;serif"/>
          <w:b w:val="false"/>
          <w:color w:val="000000"/>
          <w:sz w:val="20"/>
        </w:rPr>
        <w:t>Headcount</w:t>
        <w:noBreakHyphen/>
        <w:t>related” costs are considered the Company’s significant expense category and primarily include salaries, benefits, bonuses, stock</w:t>
        <w:noBreakHyphen/>
        <w:t>based compensation expense, employment taxes, travel, training, and realignment of the Company’s colleagues, and third</w:t>
        <w:noBreakHyphen/>
        <w:t>party personnel expenses and related overhead. The CODM is regularly provided headcount</w:t>
        <w:noBreakHyphen/>
        <w:t>related costs to understand and compare operating results across accounting periods, for internal budgeting and forecasting purposes, to evaluate financial performance, and to align colleague resources and evaluate compensation to support the Company’s operational efficiency and maximize long</w:t>
        <w:noBreakHyphen/>
        <w:t>term growth. Headcount</w:t>
        <w:noBreakHyphen/>
        <w:t xml:space="preserve">related costs of $209,081 and $192,375 for the three months ended June 30, 2025 and 2024, respectively, and $408,690 and $377,576 for the six months ended June 30, 2025 and 2024, respectively, are included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color w:val="000000"/>
        </w:rPr>
        <w:t xml:space="preserve"> </w:t>
      </w:r>
      <w:r>
        <w:rPr>
          <w:rFonts w:ascii="Times New Roman;serif" w:hAnsi="Times New Roman;serif"/>
          <w:b w:val="false"/>
          <w:color w:val="000000"/>
          <w:sz w:val="20"/>
        </w:rPr>
        <w:t>in the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Under the Company’s Net income measure of profit or loss for segment reporting purposes, other segment items were $84,525 and $65,916 for the three months ended June 30, 2025 and 2024, respectively, and $164,120 and $148,168 for the six months ended June 30, 2025 and 2024, respectively. These other segment items primarily include cloud</w:t>
        <w:noBreakHyphen/>
        <w:t xml:space="preserve">related costs incurred for servicing the Company’s accounts using cloud provisioned solutions and the Company’s license administration platform, channel partner compensation for providing sales coverage to users, marketing costs, acquisition costs, depreciation expense, and amortization expense recorded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rFonts w:ascii="Times New Roman;serif" w:hAnsi="Times New Roman;serif"/>
          <w:b w:val="false"/>
          <w:color w:val="000000"/>
          <w:sz w:val="20"/>
        </w:rPr>
        <w:t xml:space="preserve">. Additionally, other segment items include </w:t>
      </w:r>
      <w:r>
        <w:rPr>
          <w:rFonts w:ascii="Times New Roman;serif" w:hAnsi="Times New Roman;serif"/>
          <w:b w:val="false"/>
          <w:i/>
          <w:color w:val="000000"/>
          <w:sz w:val="20"/>
        </w:rPr>
        <w:t>Deferred compensation plan</w:t>
      </w:r>
      <w:r>
        <w:rPr>
          <w:color w:val="000000"/>
        </w:rPr>
        <w:t xml:space="preserve"> </w:t>
      </w:r>
      <w:r>
        <w:rPr>
          <w:rFonts w:ascii="Times New Roman;serif" w:hAnsi="Times New Roman;serif"/>
          <w:b w:val="false"/>
          <w:color w:val="000000"/>
          <w:sz w:val="20"/>
        </w:rPr>
        <w:t xml:space="preserve">expense (income), </w:t>
      </w:r>
      <w:r>
        <w:rPr>
          <w:rFonts w:ascii="Times New Roman;serif" w:hAnsi="Times New Roman;serif"/>
          <w:b w:val="false"/>
          <w:i/>
          <w:color w:val="000000"/>
          <w:sz w:val="20"/>
        </w:rPr>
        <w:t>Amortization of purchased intangibles</w:t>
      </w:r>
      <w:r>
        <w:rPr>
          <w:rFonts w:ascii="Times New Roman;serif" w:hAnsi="Times New Roman;serif"/>
          <w:b w:val="false"/>
          <w:color w:val="000000"/>
          <w:sz w:val="20"/>
        </w:rPr>
        <w:t>, and non</w:t>
        <w:noBreakHyphen/>
        <w:t>operating expense (income) amounts presented in the consolidated statements of operations.</w:t>
      </w:r>
    </w:p>
    <w:p>
      <w:pPr>
        <w:pStyle w:val="TextBody"/>
        <w:bidi w:val="0"/>
        <w:spacing w:lineRule="auto" w:line="288" w:before="0" w:after="200"/>
        <w:ind w:left="0" w:right="0" w:firstLine="360"/>
        <w:jc w:val="both"/>
        <w:rPr/>
      </w:pPr>
      <w:r>
        <w:rPr>
          <w:rFonts w:ascii="Times New Roman;serif" w:hAnsi="Times New Roman;serif"/>
          <w:b w:val="false"/>
          <w:color w:val="000000"/>
          <w:sz w:val="20"/>
        </w:rPr>
        <w:t>Under the Company’s AOI less SBC measure of profit or loss for segment reporting purposes, other segment items were $51,596 and $45,250 for the three months ended June 30, 2025 and 2024, respectively, and $97,125 and $87,652 for the six months ended June 30, 2025 and 2024, respectively. These other segment items primarily include cloud</w:t>
        <w:noBreakHyphen/>
        <w:t xml:space="preserve">related costs incurred for servicing the Company’s accounts using cloud provisioned solutions and the Company’s license administration platform, channel partner compensation for providing sales coverage to users, marketing costs, and depreciation expense recorded in </w:t>
      </w:r>
      <w:r>
        <w:rPr>
          <w:rFonts w:ascii="Times New Roman;serif" w:hAnsi="Times New Roman;serif"/>
          <w:b w:val="false"/>
          <w:i/>
          <w:color w:val="000000"/>
          <w:sz w:val="20"/>
        </w:rPr>
        <w:t>Cost of subscriptions and licenses</w:t>
      </w:r>
      <w:r>
        <w:rPr>
          <w:rFonts w:ascii="Times New Roman;serif" w:hAnsi="Times New Roman;serif"/>
          <w:b w:val="false"/>
          <w:color w:val="000000"/>
          <w:sz w:val="20"/>
        </w:rPr>
        <w:t xml:space="preserve">, </w:t>
      </w:r>
      <w:r>
        <w:rPr>
          <w:rFonts w:ascii="Times New Roman;serif" w:hAnsi="Times New Roman;serif"/>
          <w:b w:val="false"/>
          <w:i/>
          <w:color w:val="000000"/>
          <w:sz w:val="20"/>
        </w:rPr>
        <w:t>Cost of services</w:t>
      </w:r>
      <w:r>
        <w:rPr>
          <w:rFonts w:ascii="Times New Roman;serif" w:hAnsi="Times New Roman;serif"/>
          <w:b w:val="false"/>
          <w:color w:val="000000"/>
          <w:sz w:val="20"/>
        </w:rPr>
        <w:t xml:space="preserve">, </w:t>
      </w:r>
      <w:r>
        <w:rPr>
          <w:rFonts w:ascii="Times New Roman;serif" w:hAnsi="Times New Roman;serif"/>
          <w:b w:val="false"/>
          <w:i/>
          <w:color w:val="000000"/>
          <w:sz w:val="20"/>
        </w:rPr>
        <w:t>Research and development</w:t>
      </w:r>
      <w:r>
        <w:rPr>
          <w:rFonts w:ascii="Times New Roman;serif" w:hAnsi="Times New Roman;serif"/>
          <w:b w:val="false"/>
          <w:color w:val="000000"/>
          <w:sz w:val="20"/>
        </w:rPr>
        <w:t xml:space="preserve">, </w:t>
      </w:r>
      <w:r>
        <w:rPr>
          <w:rFonts w:ascii="Times New Roman;serif" w:hAnsi="Times New Roman;serif"/>
          <w:b w:val="false"/>
          <w:i/>
          <w:color w:val="000000"/>
          <w:sz w:val="20"/>
        </w:rPr>
        <w:t>Selling and marketing</w:t>
      </w:r>
      <w:r>
        <w:rPr>
          <w:rFonts w:ascii="Times New Roman;serif" w:hAnsi="Times New Roman;serif"/>
          <w:b w:val="false"/>
          <w:color w:val="000000"/>
          <w:sz w:val="20"/>
        </w:rPr>
        <w:t xml:space="preserve">, and </w:t>
      </w:r>
      <w:r>
        <w:rPr>
          <w:rFonts w:ascii="Times New Roman;serif" w:hAnsi="Times New Roman;serif"/>
          <w:b w:val="false"/>
          <w:i/>
          <w:color w:val="000000"/>
          <w:sz w:val="20"/>
        </w:rPr>
        <w:t>General and administrative</w:t>
      </w:r>
      <w:r>
        <w:rPr>
          <w:rFonts w:ascii="Times New Roman;serif" w:hAnsi="Times New Roman;serif"/>
          <w:b w:val="false"/>
          <w:color w:val="000000"/>
          <w:sz w:val="20"/>
        </w:rPr>
        <w:t>. Within the reconciliation of AOI less SBC, retention incentives paid to executives of acquired companies included as a component of acquisition expenses and costs associated with the 2023 Program included as a component of realignment expenses totaling $1,794 and $2,581 for the three months ended June 30, 2025 and 2024, respectively, and $2,610 and $4,766 for the six months ended June 30, 2025 and 2024, respectively, are excluded from the calculation of headcount</w:t>
        <w:noBreakHyphen/>
        <w:t>related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Revenues by geographic region are presented in Note 3. Long</w:t>
        <w:noBreakHyphen/>
        <w:t>lived assets (other than goodwill), net of depreciation and amortization by geographic region (see Notes 5, 6, and 8) are as follows:</w:t>
      </w:r>
    </w:p>
    <w:tbl>
      <w:tblPr>
        <w:tblW w:w="5034" w:type="dxa"/>
        <w:jc w:val="center"/>
        <w:tblInd w:w="0" w:type="dxa"/>
        <w:tblLayout w:type="fixed"/>
        <w:tblCellMar>
          <w:top w:w="28" w:type="dxa"/>
          <w:left w:w="28" w:type="dxa"/>
          <w:bottom w:w="28" w:type="dxa"/>
          <w:right w:w="28" w:type="dxa"/>
        </w:tblCellMar>
      </w:tblPr>
      <w:tblGrid>
        <w:gridCol w:w="710"/>
        <w:gridCol w:w="624"/>
        <w:gridCol w:w="630"/>
        <w:gridCol w:w="212"/>
        <w:gridCol w:w="833"/>
        <w:gridCol w:w="109"/>
        <w:gridCol w:w="109"/>
        <w:gridCol w:w="109"/>
        <w:gridCol w:w="109"/>
        <w:gridCol w:w="281"/>
        <w:gridCol w:w="1103"/>
        <w:gridCol w:w="205"/>
      </w:tblGrid>
      <w:tr>
        <w:trPr/>
        <w:tc>
          <w:tcPr>
            <w:tcW w:w="71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Americas</w:t>
            </w:r>
            <w:r>
              <w:rPr>
                <w:color w:val="000000"/>
              </w:rPr>
              <w:t xml:space="preserve"> </w:t>
            </w:r>
            <w:r>
              <w:rPr>
                <w:rFonts w:ascii="Times New Roman;serif" w:hAnsi="Times New Roman;serif"/>
                <w:b w:val="false"/>
                <w:color w:val="000000"/>
                <w:sz w:val="13"/>
              </w:rPr>
              <w:t>(1)</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230,964 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32,712 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long-lived assets</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258,601 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280,060 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(1)Americas includes the U.S., Canada, and Latin America (including the Caribbean).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Note 20: Other (Expense) Income, Net</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(expense) income, net consists of the following:</w:t>
      </w:r>
    </w:p>
    <w:tbl>
      <w:tblPr>
        <w:tblW w:w="9449" w:type="dxa"/>
        <w:jc w:val="center"/>
        <w:tblInd w:w="0" w:type="dxa"/>
        <w:tblLayout w:type="fixed"/>
        <w:tblCellMar>
          <w:top w:w="28" w:type="dxa"/>
          <w:left w:w="28" w:type="dxa"/>
          <w:bottom w:w="28" w:type="dxa"/>
          <w:right w:w="28" w:type="dxa"/>
        </w:tblCellMar>
      </w:tblPr>
      <w:tblGrid>
        <w:gridCol w:w="1640"/>
        <w:gridCol w:w="1440"/>
        <w:gridCol w:w="1449"/>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211"/>
        <w:gridCol w:w="616"/>
        <w:gridCol w:w="154"/>
      </w:tblGrid>
      <w:tr>
        <w:trPr/>
        <w:tc>
          <w:tcPr>
            <w:tcW w:w="16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from:</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 (see Note 17)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w:t>
            </w:r>
            <w:r>
              <w:rPr>
                <w:rFonts w:ascii="Times New Roman;serif" w:hAnsi="Times New Roman;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Receipts related to interest rate swap</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(1)Foreign exchange gain (loss) is primarily attributable to foreign currency translation derived mainly from U.S. dollar denominated cash and cash equivalents, account receivables, customer deposits, and intercompany balances held by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Note 21: Net Income Per Share Attributable to Bentley Systems Stockholders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compute the numerator of basic net income per share attributable to Bentley Systems stockholders, undistributed net income attributable to Bentley Systems allocated to participating securities (described further below) using the required two</w:t>
        <w:noBreakHyphen/>
        <w:t xml:space="preserve">class method, is subtracted from net income attributable to Bentley Systems. The denominator of basic net income per share attributable to Bentley Systems stockholders is the weighted average number of shares, inclusive of undistributed shares held in the DCP as phantom shares of the Company’s Class B common stock. </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issues certain performance-based RSUs determined to be participating securities because holders of such shares have non-forfeitable dividend rights in the event of the Company’s declaration of a dividend for common shares. As of June 30, 2025 and 2024, there were 206,013 and 356,167 participating securities outstanding, respectively.</w:t>
      </w:r>
    </w:p>
    <w:p>
      <w:pPr>
        <w:pStyle w:val="TextBody"/>
        <w:bidi w:val="0"/>
        <w:spacing w:lineRule="auto" w:line="288" w:before="0" w:after="200"/>
        <w:ind w:left="0" w:right="0" w:firstLine="360"/>
        <w:jc w:val="both"/>
        <w:rPr/>
      </w:pPr>
      <w:r>
        <w:rPr>
          <w:rFonts w:ascii="Times New Roman;serif" w:hAnsi="Times New Roman;serif"/>
          <w:b w:val="false"/>
          <w:color w:val="000000"/>
          <w:sz w:val="20"/>
        </w:rPr>
        <w:t>To compute the numerator of</w:t>
      </w:r>
      <w:r>
        <w:rPr>
          <w:color w:val="212529"/>
        </w:rPr>
        <w:t xml:space="preserve"> </w:t>
      </w:r>
      <w:r>
        <w:rPr>
          <w:rFonts w:ascii="Times New Roman;serif" w:hAnsi="Times New Roman;serif"/>
          <w:b w:val="false"/>
          <w:color w:val="212529"/>
          <w:sz w:val="20"/>
        </w:rPr>
        <w:t xml:space="preserve">diluted </w:t>
      </w:r>
      <w:r>
        <w:rPr>
          <w:rFonts w:ascii="Times New Roman;serif" w:hAnsi="Times New Roman;serif"/>
          <w:b w:val="false"/>
          <w:color w:val="000000"/>
          <w:sz w:val="20"/>
        </w:rPr>
        <w:t>net income per share attributable to Bentley Systems stockholders</w:t>
      </w:r>
      <w:r>
        <w:rPr>
          <w:rFonts w:ascii="Times New Roman;serif" w:hAnsi="Times New Roman;serif"/>
          <w:b w:val="false"/>
          <w:color w:val="212529"/>
          <w:sz w:val="20"/>
        </w:rPr>
        <w:t>, interest expense, net of tax, attributable to the assumed conversion of the</w:t>
      </w:r>
      <w:r>
        <w:rPr>
          <w:color w:val="000000"/>
        </w:rPr>
        <w:t xml:space="preserve"> </w:t>
      </w:r>
      <w:r>
        <w:rPr>
          <w:rFonts w:ascii="Times New Roman;serif" w:hAnsi="Times New Roman;serif"/>
          <w:b w:val="false"/>
          <w:color w:val="000000"/>
          <w:sz w:val="20"/>
        </w:rPr>
        <w:t>convertible senior notes using the if</w:t>
        <w:noBreakHyphen/>
        <w:t>converted method</w:t>
      </w:r>
      <w:r>
        <w:rPr>
          <w:color w:val="212529"/>
        </w:rPr>
        <w:t xml:space="preserve"> </w:t>
      </w:r>
      <w:r>
        <w:rPr>
          <w:rFonts w:ascii="Times New Roman;serif" w:hAnsi="Times New Roman;serif"/>
          <w:b w:val="false"/>
          <w:color w:val="212529"/>
          <w:sz w:val="20"/>
        </w:rPr>
        <w:t xml:space="preserve">is added back to basic net income attributable to </w:t>
      </w:r>
      <w:r>
        <w:rPr>
          <w:rFonts w:ascii="Times New Roman;serif" w:hAnsi="Times New Roman;serif"/>
          <w:b w:val="false"/>
          <w:color w:val="000000"/>
          <w:sz w:val="20"/>
        </w:rPr>
        <w:t>Bentley Systems</w:t>
      </w:r>
      <w:r>
        <w:rPr>
          <w:rFonts w:ascii="Times New Roman;serif" w:hAnsi="Times New Roman;serif"/>
          <w:b w:val="false"/>
          <w:color w:val="212529"/>
          <w:sz w:val="20"/>
        </w:rPr>
        <w:t xml:space="preserve">. </w:t>
      </w:r>
      <w:r>
        <w:rPr>
          <w:rFonts w:ascii="Times New Roman;serif" w:hAnsi="Times New Roman;serif"/>
          <w:b w:val="false"/>
          <w:color w:val="000000"/>
          <w:sz w:val="20"/>
        </w:rPr>
        <w:t>To compute the denominator of</w:t>
      </w:r>
      <w:r>
        <w:rPr>
          <w:color w:val="212529"/>
        </w:rPr>
        <w:t xml:space="preserve"> </w:t>
      </w:r>
      <w:r>
        <w:rPr>
          <w:rFonts w:ascii="Times New Roman;serif" w:hAnsi="Times New Roman;serif"/>
          <w:b w:val="false"/>
          <w:color w:val="212529"/>
          <w:sz w:val="20"/>
        </w:rPr>
        <w:t xml:space="preserve">diluted </w:t>
      </w:r>
      <w:r>
        <w:rPr>
          <w:rFonts w:ascii="Times New Roman;serif" w:hAnsi="Times New Roman;serif"/>
          <w:b w:val="false"/>
          <w:color w:val="000000"/>
          <w:sz w:val="20"/>
        </w:rPr>
        <w:t>net income per share attributable to Bentley Systems stockholders</w:t>
      </w:r>
      <w:r>
        <w:rPr>
          <w:rFonts w:ascii="Times New Roman;serif" w:hAnsi="Times New Roman;serif"/>
          <w:b w:val="false"/>
          <w:color w:val="212529"/>
          <w:sz w:val="20"/>
        </w:rPr>
        <w:t xml:space="preserve">, the basic weighted average number of shares is adjusted for the effect of dilutive securities, including awards under the Company’s equity compensation plans and ESPP using the treasury stock method, and for the dilutive </w:t>
      </w:r>
      <w:r>
        <w:rPr>
          <w:rFonts w:ascii="Times New Roman;serif" w:hAnsi="Times New Roman;serif"/>
          <w:b w:val="false"/>
          <w:color w:val="000000"/>
          <w:sz w:val="20"/>
        </w:rPr>
        <w:t>effect of the assumed conversion of the convertible senior notes using the if</w:t>
        <w:noBreakHyphen/>
        <w:t>converted method.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Except with respect to voting and conversion, the rights of the holders of the Company’s Class A and Class B common stock are identical. Each class of shares has the same rights to dividends and allocation of income (loss) and, therefore, net income per share attributable to Bentley Systems stockholders would not differ under the two</w:t>
        <w:noBreakHyphen/>
        <w:t>class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pPr>
      <w:r>
        <w:rPr>
          <w:rFonts w:ascii="Times New Roman;serif" w:hAnsi="Times New Roman;serif"/>
          <w:b w:val="false"/>
          <w:color w:val="000000"/>
          <w:sz w:val="20"/>
        </w:rPr>
        <w:t>The details of basic and diluted net income per share attributable to Bentley Systems stockholders are as follows</w:t>
      </w:r>
      <w:r>
        <w:rPr>
          <w:rFonts w:ascii="Times New Roman;serif" w:hAnsi="Times New Roman;serif"/>
          <w:b w:val="false"/>
          <w:color w:val="212529"/>
          <w:sz w:val="20"/>
        </w:rPr>
        <w:t>:</w:t>
      </w:r>
    </w:p>
    <w:tbl>
      <w:tblPr>
        <w:tblW w:w="10205" w:type="dxa"/>
        <w:jc w:val="center"/>
        <w:tblInd w:w="0" w:type="dxa"/>
        <w:tblLayout w:type="fixed"/>
        <w:tblCellMar>
          <w:top w:w="28" w:type="dxa"/>
          <w:left w:w="28" w:type="dxa"/>
          <w:bottom w:w="28" w:type="dxa"/>
          <w:right w:w="28" w:type="dxa"/>
        </w:tblCellMar>
      </w:tblPr>
      <w:tblGrid>
        <w:gridCol w:w="1411"/>
        <w:gridCol w:w="1128"/>
        <w:gridCol w:w="1132"/>
        <w:gridCol w:w="109"/>
        <w:gridCol w:w="109"/>
        <w:gridCol w:w="109"/>
        <w:gridCol w:w="268"/>
        <w:gridCol w:w="918"/>
        <w:gridCol w:w="109"/>
        <w:gridCol w:w="109"/>
        <w:gridCol w:w="109"/>
        <w:gridCol w:w="109"/>
        <w:gridCol w:w="268"/>
        <w:gridCol w:w="918"/>
        <w:gridCol w:w="109"/>
        <w:gridCol w:w="109"/>
        <w:gridCol w:w="109"/>
        <w:gridCol w:w="109"/>
        <w:gridCol w:w="241"/>
        <w:gridCol w:w="945"/>
        <w:gridCol w:w="109"/>
        <w:gridCol w:w="109"/>
        <w:gridCol w:w="109"/>
        <w:gridCol w:w="109"/>
        <w:gridCol w:w="241"/>
        <w:gridCol w:w="945"/>
        <w:gridCol w:w="155"/>
      </w:tblGrid>
      <w:tr>
        <w:trPr/>
        <w:tc>
          <w:tcPr>
            <w:tcW w:w="141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6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Bentley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Less: Net income attributable to Bentley Systems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net income attributable to Bentley Systems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 Interest expense, net of tax, attributable to assumed conversion of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Diluted net income attributable to Bentley Systems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145,754 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314,622,491 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314,980,580 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314,894,050 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314,660,906 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 restricted stock, and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1,361,265 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69,358 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assumed conversion of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17,477,861 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17,633,786 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17,533,301 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17,633,786 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332,824,020 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333,780,984 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333,150,282 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333,725,315 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per share attributable to Bentley Systems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0.44 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314,348 and 277,635 RSUs, respectively, were excluded from the calculation of diluted net income per share attributable to Bentley Systems stockholders as including them would have an anti</w:t>
        <w:noBreakHyphen/>
        <w:t>dilutive effect. There were no anti</w:t>
        <w:noBreakHyphen/>
        <w:t>dilutive securities for the three or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0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should be read in conjunction with our unaudited consolidated financial statements and notes thereto appearing in Part I, Item 1 of this Quarterly Report on Form 10</w:t>
        <w:noBreakHyphen/>
        <w:t>Q and with our audited consolidated financial statements and notes thereto included in our 2024 Annual Report on Form 10</w:t>
        <w:noBreakHyphen/>
        <w:t>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amounts presented in this Management’s Discussion and Analysis of Financial Condition and Results of Operations, except share and per share amounts, are presented in thousands. Additionally, many of the amounts and percentages have been rounded for convenience of presentation. Minor differences in totals and percentage calculations may exist due to rounding.</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Bentley Systems is the infrastructure engineering software company. Our purpose is to advance the world’s infrastructure for better quality of life. We empower people to design, build, and operate better and more resilient infrastructure through the adoption of our intelligent digital twin solutions. We manage our business globally within one reportable segment, the development and marketing of computer software and related services, which is consistent with how our CODM reviews and manages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Executive Summary:</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Total revenues were $364,106 for the three months ended June 30, 2025, up 10.2% or 9.2%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three months ended June 30, 2024. Total revenues were $734,648 for the six months ended June 30, 2025, up 10.0% or 10.1%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six months ended June 30, 2024;</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Subscriptions revenues were $333,452 for the three months ended June 30, 2025, up 12.1% or 11.2%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three months ended June 30, 2024. Subscriptions revenues were $675,770 for the six months ended June 30, 2025, up 11.8% or 11.9% on a constant currency basis</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compared to the six months ended June 30, 2024;</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ARR</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$1,379,161 as of June 30, 2025, compared to $1,215,910 as of June 30, 2024, representing a constant currency</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ARR growth rate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of 11.5%;</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Last twelve-month recurring revenues dollar-based net retention rate</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was 109% as of June 30, 2025, compared to 108% as of June 30, 2024;</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Operating income was $84,430 for the three months ended June 30, 2025, compared to $80,177 for the three months ended June 30, 2024. Operating income was $199,614 for the six months ended June 30, 2025, compared to $172,108 for the six months ended June 30, 2024;</w:t>
      </w:r>
    </w:p>
    <w:p>
      <w:pPr>
        <w:pStyle w:val="TextBody"/>
        <w:bidi w:val="0"/>
        <w:spacing w:lineRule="auto" w:line="288" w:before="0" w:after="200"/>
        <w:ind w:left="0" w:right="0" w:hanging="270"/>
        <w:jc w:val="both"/>
        <w:rPr/>
      </w:pPr>
      <w:r>
        <w:rPr>
          <w:color w:val="000000"/>
        </w:rPr>
        <w:t>•</w:t>
      </w:r>
      <w:r>
        <w:rPr>
          <w:rFonts w:ascii="Times New Roman;serif" w:hAnsi="Times New Roman;serif"/>
          <w:b w:val="false"/>
          <w:color w:val="000000"/>
          <w:sz w:val="20"/>
        </w:rPr>
        <w:t>AOI less SBC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$105,223 for the three months ended June 30, 2025, compared to $95,293 for the three months ended June 30, 2024. AOI less SBC</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was $231,443 for the six months ended June 30, 2025, compared to $207,638 for the six months ended June 30, 2024; and</w:t>
      </w:r>
    </w:p>
    <w:p>
      <w:pPr>
        <w:pStyle w:val="TextBody"/>
        <w:bidi w:val="0"/>
        <w:spacing w:lineRule="auto" w:line="288" w:before="0" w:after="120"/>
        <w:ind w:left="0" w:right="0" w:hanging="270"/>
        <w:jc w:val="both"/>
        <w:rPr/>
      </w:pPr>
      <w:r>
        <w:rPr>
          <w:color w:val="000000"/>
        </w:rPr>
        <w:t>•</w:t>
      </w:r>
      <w:r>
        <w:rPr>
          <w:rFonts w:ascii="Times New Roman;serif" w:hAnsi="Times New Roman;serif"/>
          <w:b w:val="false"/>
          <w:color w:val="000000"/>
          <w:sz w:val="20"/>
        </w:rPr>
        <w:t>Cash flows from operations was $280,500 for the six months ended June 30, 2025, compared to $267,555 for the six months ended June 30, 2024.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and AOI less SBC are non</w:t>
        <w:noBreakHyphen/>
        <w:t>GAAP financial measures. Refer to the “Non</w:t>
        <w:noBreakHyphen/>
        <w:t>GAAP Financial Measures” section for additional information, including our definitions and our uses of constant currency and AOI less SBC.</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(2)Refer to the “Key Business Metrics” section for additional information, including our definitions and our uses of ARR, ARR growth rate, and recurring revenues dollar-based net retention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results of operations have been, and in the future will be, affected by changes in foreign currency exchange rates. Other than the natural hedge attributable to matching revenues and expenses in the same currencies, we do not currently hedge foreign currency exposure. Additionally, because we have operations in, and derive revenue from, geographies around the world, we will continue to monitor the impact of tariffs and other trade policies on our business and the businesses of our accounts, as well as on our financial condition, results of operations, and/or cash flows.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identify the effects of foreign currency on our operations and present constant currency growth rates and fluctuations because we believe exchange rates are an important factor in understanding period</w:t>
        <w:noBreakHyphen/>
        <w:t>over</w:t>
        <w:noBreakHyphen/>
        <w:t>period comparisons and enhance the understanding of our results and evaluation of our performance. Refer to the “Non</w:t>
        <w:noBreakHyphen/>
        <w:t>GAAP Financial Measures” section for additional information, including our definition and our use of constant currency.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Consolidated Revenues</w:t>
      </w:r>
    </w:p>
    <w:tbl>
      <w:tblPr>
        <w:tblW w:w="10541" w:type="dxa"/>
        <w:jc w:val="center"/>
        <w:tblInd w:w="0" w:type="dxa"/>
        <w:tblLayout w:type="fixed"/>
        <w:tblCellMar>
          <w:top w:w="28" w:type="dxa"/>
          <w:left w:w="28" w:type="dxa"/>
          <w:bottom w:w="28" w:type="dxa"/>
          <w:right w:w="28" w:type="dxa"/>
        </w:tblCellMar>
      </w:tblPr>
      <w:tblGrid>
        <w:gridCol w:w="381"/>
        <w:gridCol w:w="334"/>
        <w:gridCol w:w="336"/>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349"/>
        <w:gridCol w:w="109"/>
        <w:gridCol w:w="109"/>
        <w:gridCol w:w="109"/>
        <w:gridCol w:w="196"/>
        <w:gridCol w:w="736"/>
        <w:gridCol w:w="109"/>
        <w:gridCol w:w="109"/>
        <w:gridCol w:w="109"/>
        <w:gridCol w:w="109"/>
        <w:gridCol w:w="196"/>
        <w:gridCol w:w="736"/>
        <w:gridCol w:w="109"/>
        <w:gridCol w:w="109"/>
        <w:gridCol w:w="109"/>
        <w:gridCol w:w="109"/>
        <w:gridCol w:w="239"/>
        <w:gridCol w:w="242"/>
        <w:gridCol w:w="241"/>
        <w:gridCol w:w="109"/>
        <w:gridCol w:w="109"/>
        <w:gridCol w:w="109"/>
        <w:gridCol w:w="239"/>
        <w:gridCol w:w="242"/>
        <w:gridCol w:w="402"/>
      </w:tblGrid>
      <w:tr>
        <w:trPr/>
        <w:tc>
          <w:tcPr>
            <w:tcW w:w="38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Subscriptions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333,452 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297,444 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604,533 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Perpetual licenses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Subscriptions and licenses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increase in total revenues for the three and six months ended June 30, 2025 was primarily driven by an increase in subscriptions revenues, partially offset by a decrease in services revenues.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Subscriptions</w:t>
      </w:r>
      <w:r>
        <w:rPr>
          <w:rFonts w:ascii="Times New Roman;serif" w:hAnsi="Times New Roman;serif"/>
          <w:b w:val="false"/>
          <w:color w:val="000000"/>
          <w:sz w:val="20"/>
        </w:rPr>
        <w:t>. For the three and six months ended June 30, 2025, the increase in subscriptions revenues was driven by improvements in our business performance of $36,008 ($33,157 on a constant currency basis) and $71,237 ($72,052 on a constant currency basis), respectively. Our business performance includes the impact from programmatic acquisitions, which generally are immaterial, individually and in the aggregate.</w:t>
      </w:r>
    </w:p>
    <w:p>
      <w:pPr>
        <w:pStyle w:val="TextBody"/>
        <w:bidi w:val="0"/>
        <w:spacing w:lineRule="auto" w:line="288" w:before="0" w:after="200"/>
        <w:ind w:left="0" w:right="0" w:firstLine="360"/>
        <w:jc w:val="both"/>
        <w:rPr/>
      </w:pPr>
      <w:r>
        <w:rPr>
          <w:rFonts w:ascii="Times New Roman;serif" w:hAnsi="Times New Roman;serif"/>
          <w:b w:val="false"/>
          <w:color w:val="000000"/>
          <w:sz w:val="20"/>
        </w:rPr>
        <w:t>For the three and six months ended June 30, 2025, the improvements in business performance were primarily driven by expansion from accounts with revenues in the same period in the prior year (“existing accounts”), and growth of 3% attributable to new accounts, most notably small- and medium-sized accounts. Improvements in business performance for the three and six months ended June 30, 2025 were led by our engineering</w:t>
      </w:r>
      <w:r>
        <w:rPr>
          <w:color w:val="000000"/>
        </w:rPr>
        <w:t xml:space="preserve"> </w:t>
      </w:r>
      <w:r>
        <w:rPr>
          <w:rFonts w:ascii="Times New Roman;serif" w:hAnsi="Times New Roman;serif"/>
          <w:b w:val="false"/>
          <w:color w:val="000000"/>
          <w:sz w:val="20"/>
        </w:rPr>
        <w:t>applications, followed by geoprofessional</w:t>
      </w:r>
      <w:r>
        <w:rPr>
          <w:color w:val="000000"/>
        </w:rPr>
        <w:t xml:space="preserve"> </w:t>
      </w:r>
      <w:r>
        <w:rPr>
          <w:rFonts w:ascii="Times New Roman;serif" w:hAnsi="Times New Roman;serif"/>
          <w:b w:val="false"/>
          <w:color w:val="000000"/>
          <w:sz w:val="20"/>
        </w:rPr>
        <w:t xml:space="preserve">applications, and our </w:t>
      </w:r>
      <w:r>
        <w:rPr>
          <w:rFonts w:ascii="Times New Roman;serif" w:hAnsi="Times New Roman;serif"/>
          <w:b w:val="false"/>
          <w:i/>
          <w:color w:val="000000"/>
          <w:sz w:val="20"/>
        </w:rPr>
        <w:t>Bentley Infrastructure Cloud</w:t>
      </w:r>
      <w:r>
        <w:rPr>
          <w:rFonts w:ascii="Times New Roman;serif" w:hAnsi="Times New Roman;serif"/>
          <w:b w:val="false"/>
          <w:color w:val="000000"/>
          <w:sz w:val="20"/>
        </w:rPr>
        <w:t>.</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Perpetual licenses</w:t>
      </w:r>
      <w:r>
        <w:rPr>
          <w:rFonts w:ascii="Times New Roman;serif" w:hAnsi="Times New Roman;serif"/>
          <w:b w:val="false"/>
          <w:color w:val="000000"/>
          <w:sz w:val="20"/>
        </w:rPr>
        <w:t>. For the three months ended June 30, 2025, the decrease in perpetual licenses revenues was driven by a decline in our business performance of $670 ($762 on a constant currency basis). For the six months ended June 30, 2025, the increase in perpetual licenses revenues was driven by improvements in business performance of $610 ($681 on a constant currency basis).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Services.</w:t>
      </w:r>
      <w:r>
        <w:rPr>
          <w:color w:val="000000"/>
        </w:rPr>
        <w:t xml:space="preserve"> </w:t>
      </w:r>
      <w:r>
        <w:rPr>
          <w:rFonts w:ascii="Times New Roman;serif" w:hAnsi="Times New Roman;serif"/>
          <w:b w:val="false"/>
          <w:color w:val="000000"/>
          <w:sz w:val="20"/>
        </w:rPr>
        <w:t>For the three and six months ended June 30, 2025, the decrease in services revenues was driven by a decline in our business performance of $1,569 ($1,894 on a constant currency basis) and $5,299 ($5,334 on a constant currency basis), respectively, driven primarily from weakness within Asset Performance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Revenues by Geographic Region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Revenue from external customers is attributed to individual countries based upon the location of the customer.</w:t>
      </w:r>
    </w:p>
    <w:tbl>
      <w:tblPr>
        <w:tblW w:w="10205" w:type="dxa"/>
        <w:jc w:val="center"/>
        <w:tblInd w:w="0" w:type="dxa"/>
        <w:tblLayout w:type="fixed"/>
        <w:tblCellMar>
          <w:top w:w="28" w:type="dxa"/>
          <w:left w:w="28" w:type="dxa"/>
          <w:bottom w:w="28" w:type="dxa"/>
          <w:right w:w="28" w:type="dxa"/>
        </w:tblCellMar>
      </w:tblPr>
      <w:tblGrid>
        <w:gridCol w:w="301"/>
        <w:gridCol w:w="266"/>
        <w:gridCol w:w="267"/>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349"/>
        <w:gridCol w:w="109"/>
        <w:gridCol w:w="109"/>
        <w:gridCol w:w="109"/>
        <w:gridCol w:w="196"/>
        <w:gridCol w:w="736"/>
        <w:gridCol w:w="109"/>
        <w:gridCol w:w="109"/>
        <w:gridCol w:w="109"/>
        <w:gridCol w:w="109"/>
        <w:gridCol w:w="196"/>
        <w:gridCol w:w="736"/>
        <w:gridCol w:w="109"/>
        <w:gridCol w:w="109"/>
        <w:gridCol w:w="109"/>
        <w:gridCol w:w="109"/>
        <w:gridCol w:w="209"/>
        <w:gridCol w:w="212"/>
        <w:gridCol w:w="241"/>
        <w:gridCol w:w="109"/>
        <w:gridCol w:w="109"/>
        <w:gridCol w:w="109"/>
        <w:gridCol w:w="209"/>
        <w:gridCol w:w="212"/>
        <w:gridCol w:w="403"/>
      </w:tblGrid>
      <w:tr>
        <w:trPr/>
        <w:tc>
          <w:tcPr>
            <w:tcW w:w="30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r>
      <w:tr>
        <w:trPr/>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r>
      <w:tr>
        <w:trPr/>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Americas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w:t>
            </w:r>
          </w:p>
        </w:tc>
        <w:tc>
          <w:tcPr>
            <w:tcW w:w="4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APAC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11.0</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364,106 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330,337 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734,648 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w:t>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pPr>
      <w:r>
        <w:rPr>
          <w:rFonts w:ascii="Times New Roman;serif" w:hAnsi="Times New Roman;serif"/>
          <w:b w:val="false"/>
          <w:i/>
          <w:color w:val="000000"/>
          <w:sz w:val="20"/>
        </w:rPr>
        <w:t>Americas</w:t>
      </w:r>
      <w:r>
        <w:rPr>
          <w:rFonts w:ascii="Times New Roman;serif" w:hAnsi="Times New Roman;serif"/>
          <w:b w:val="false"/>
          <w:color w:val="000000"/>
          <w:sz w:val="20"/>
        </w:rPr>
        <w:t>. For the three and six months ended June 30, 2025, the increase in revenues from the Americas was primarily driven by improvements in our business performance of $17,749 ($18,194 on a constant currency basis) and $32,531 ($34,858 on a constant currency basis),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improvements in business performance for the three and six months ended June 30, 2025 were primarily due to expansion of our subscriptions revenues from existing accounts in the U.S. Partially offsetting these improvements, for the six months ended June 30, 2025, was a decline in services revenues.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EMEA</w:t>
      </w:r>
      <w:r>
        <w:rPr>
          <w:rFonts w:ascii="Times New Roman;serif" w:hAnsi="Times New Roman;serif"/>
          <w:b w:val="false"/>
          <w:color w:val="000000"/>
          <w:sz w:val="20"/>
        </w:rPr>
        <w:t>. For the three and six months ended June 30, 2025, the increase in revenues from EMEA was primarily driven by improvements in our business performance of $9,549 ($5,926 on a constant currency basis) and $21,840 ($19,402 on a constant currency basis),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improvements in business performance for the three months ended June 30, 2025 were primarily due to expansion of our subscriptions revenues from existing accounts in the United Kingdom, Central Europe, the Middle East, and Africa.</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improvements in business performance for the six months ended June 30, 2025 were primarily due to expansion of our subscriptions revenues from existing accounts in the United Kingdom, the Middle East, and Africa, partially offset by a decline in services revenues.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APAC.</w:t>
      </w:r>
      <w:r>
        <w:rPr>
          <w:color w:val="000000"/>
        </w:rPr>
        <w:t xml:space="preserve"> </w:t>
      </w:r>
      <w:r>
        <w:rPr>
          <w:rFonts w:ascii="Times New Roman;serif" w:hAnsi="Times New Roman;serif"/>
          <w:b w:val="false"/>
          <w:color w:val="000000"/>
          <w:sz w:val="20"/>
        </w:rPr>
        <w:t>For the three and six months ended June 30, 2025, the increase in revenues from APAC was primarily driven by improvements in our business performance of $6,471 ($6,381 on a constant currency basis) and $12,177 ($13,139 on a constant currency basis),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improvements in business performance for the three months ended June 30, 2025 were primarily due to expansion of our subscriptions revenues from existing accounts in India, as well as an increase in our subscriptions revenues from new accounts in China, partially offset by declines in our subscriptions revenues from existing accounts in China.</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improvements in business performance for the six months ended June 30, 2025 were primarily due to expansion of our subscriptions revenues from existing accounts in India and Australia, as well as increases in our subscriptions and perpetual licenses revenues from new accounts in China, partially offset by declines in our subscriptions revenues from existing accounts in China.</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future results in China remain uncertain as a result of continued geopolitical challenges, the obstacles there to cloud</w:t>
        <w:noBreakHyphen/>
        <w:t>deployed software, and the financial timing impact of the preference there for license sales, rather than subscriptions.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Cost of Revenues and Operating Expenses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Cost of Revenues</w:t>
      </w:r>
    </w:p>
    <w:tbl>
      <w:tblPr>
        <w:tblW w:w="10211" w:type="dxa"/>
        <w:jc w:val="center"/>
        <w:tblInd w:w="0" w:type="dxa"/>
        <w:tblLayout w:type="fixed"/>
        <w:tblCellMar>
          <w:top w:w="28" w:type="dxa"/>
          <w:left w:w="28" w:type="dxa"/>
          <w:bottom w:w="28" w:type="dxa"/>
          <w:right w:w="28" w:type="dxa"/>
        </w:tblCellMar>
      </w:tblPr>
      <w:tblGrid>
        <w:gridCol w:w="370"/>
        <w:gridCol w:w="325"/>
        <w:gridCol w:w="326"/>
        <w:gridCol w:w="196"/>
        <w:gridCol w:w="646"/>
        <w:gridCol w:w="109"/>
        <w:gridCol w:w="109"/>
        <w:gridCol w:w="109"/>
        <w:gridCol w:w="109"/>
        <w:gridCol w:w="196"/>
        <w:gridCol w:w="646"/>
        <w:gridCol w:w="109"/>
        <w:gridCol w:w="109"/>
        <w:gridCol w:w="109"/>
        <w:gridCol w:w="109"/>
        <w:gridCol w:w="210"/>
        <w:gridCol w:w="211"/>
        <w:gridCol w:w="241"/>
        <w:gridCol w:w="109"/>
        <w:gridCol w:w="109"/>
        <w:gridCol w:w="109"/>
        <w:gridCol w:w="210"/>
        <w:gridCol w:w="211"/>
        <w:gridCol w:w="349"/>
        <w:gridCol w:w="109"/>
        <w:gridCol w:w="109"/>
        <w:gridCol w:w="109"/>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402"/>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subscriptions and licenses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services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cost of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4"/>
        </w:rPr>
      </w:pPr>
      <w:r>
        <w:rPr>
          <w:rFonts w:ascii="Times New Roman;serif" w:hAnsi="Times New Roman;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pPr>
      <w:r>
        <w:rPr>
          <w:rFonts w:ascii="Times New Roman;serif" w:hAnsi="Times New Roman;serif"/>
          <w:b w:val="false"/>
          <w:i/>
          <w:color w:val="000000"/>
          <w:sz w:val="20"/>
        </w:rPr>
        <w:t>Cost of subscriptions and licenses.</w:t>
      </w:r>
      <w:r>
        <w:rPr>
          <w:color w:val="000000"/>
        </w:rPr>
        <w:t xml:space="preserve"> </w:t>
      </w:r>
      <w:r>
        <w:rPr>
          <w:rFonts w:ascii="Times New Roman;serif" w:hAnsi="Times New Roman;serif"/>
          <w:b w:val="false"/>
          <w:color w:val="000000"/>
          <w:sz w:val="20"/>
        </w:rPr>
        <w:t>For the three and six months ended June 30, 2025, on a constant currency basis, cost of subscriptions and licenses expenses increased due to an increase in headcount-related costs of $2,676 and $6,921, respectively, mainly due to an increase in annual and other compensation costs, and higher stock-based compensation expense, partially offset by realignment expenses recognized in the prior year periods related to the 2023 Program, which did not recur in the current year periods. Additionally, for the three and six months ended June 30, 2025, cost of subscriptions and licenses further increased due to an increase in cloud-related costs of $2,917 and $4,455, respectively.</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Cost of services. </w:t>
      </w:r>
      <w:r>
        <w:rPr>
          <w:rFonts w:ascii="Times New Roman;serif" w:hAnsi="Times New Roman;serif"/>
          <w:b w:val="false"/>
          <w:color w:val="000000"/>
          <w:sz w:val="20"/>
        </w:rPr>
        <w:t>For the three months ended June 30, 2025, on a constant currency basis, cost of services expenses were flat as the increase in annual and other compensation costs was offset by a reduction in third</w:t>
        <w:noBreakHyphen/>
        <w:t>party personnel costs.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on a constant currency basis, cost of services expenses decreased primarily due to a decrease in headcount</w:t>
        <w:noBreakHyphen/>
        <w:t>related costs, mainly due to a reduction in third</w:t>
        <w:noBreakHyphen/>
        <w:t>party personnel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Operating Expenses</w:t>
      </w:r>
    </w:p>
    <w:tbl>
      <w:tblPr>
        <w:tblW w:w="10466" w:type="dxa"/>
        <w:jc w:val="center"/>
        <w:tblInd w:w="0" w:type="dxa"/>
        <w:tblLayout w:type="fixed"/>
        <w:tblCellMar>
          <w:top w:w="28" w:type="dxa"/>
          <w:left w:w="28" w:type="dxa"/>
          <w:bottom w:w="28" w:type="dxa"/>
          <w:right w:w="28" w:type="dxa"/>
        </w:tblCellMar>
      </w:tblPr>
      <w:tblGrid>
        <w:gridCol w:w="445"/>
        <w:gridCol w:w="325"/>
        <w:gridCol w:w="326"/>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349"/>
        <w:gridCol w:w="109"/>
        <w:gridCol w:w="109"/>
        <w:gridCol w:w="109"/>
        <w:gridCol w:w="196"/>
        <w:gridCol w:w="736"/>
        <w:gridCol w:w="109"/>
        <w:gridCol w:w="109"/>
        <w:gridCol w:w="109"/>
        <w:gridCol w:w="109"/>
        <w:gridCol w:w="196"/>
        <w:gridCol w:w="736"/>
        <w:gridCol w:w="109"/>
        <w:gridCol w:w="109"/>
        <w:gridCol w:w="109"/>
        <w:gridCol w:w="109"/>
        <w:gridCol w:w="210"/>
        <w:gridCol w:w="211"/>
        <w:gridCol w:w="241"/>
        <w:gridCol w:w="109"/>
        <w:gridCol w:w="109"/>
        <w:gridCol w:w="109"/>
        <w:gridCol w:w="210"/>
        <w:gridCol w:w="211"/>
        <w:gridCol w:w="402"/>
      </w:tblGrid>
      <w:tr>
        <w:trPr/>
        <w:tc>
          <w:tcPr>
            <w:tcW w:w="44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Change</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Constant</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Currency</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color w:val="000000"/>
              </w:rPr>
              <w:t>   </w:t>
            </w:r>
            <w:r>
              <w:rPr>
                <w:rFonts w:ascii="Times New Roman;serif" w:hAnsi="Times New Roman;serif"/>
                <w:b/>
                <w:color w:val="000000"/>
                <w:sz w:val="14"/>
              </w:rPr>
              <w:t>%</w:t>
            </w:r>
            <w:r>
              <w:rPr>
                <w:rFonts w:ascii="Times New Roman;serif" w:hAnsi="Times New Roman;serif"/>
                <w:b/>
                <w:color w:val="000000"/>
                <w:sz w:val="9"/>
              </w:rPr>
              <w:t>(1)</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14.5</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Selling and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compensation plan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purchased intangibles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operating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Percentage changes that are considered not meaningful are denoted with NM.</w:t>
      </w:r>
    </w:p>
    <w:p>
      <w:pPr>
        <w:pStyle w:val="TextBody"/>
        <w:bidi w:val="0"/>
        <w:spacing w:lineRule="auto" w:line="288" w:before="0" w:after="200"/>
        <w:ind w:left="0" w:right="0" w:hanging="360"/>
        <w:jc w:val="left"/>
        <w:rPr>
          <w:rFonts w:ascii="Times New Roman;serif" w:hAnsi="Times New Roman;serif"/>
          <w:b w:val="false"/>
          <w:color w:val="000000"/>
          <w:sz w:val="14"/>
        </w:rPr>
      </w:pPr>
      <w:r>
        <w:rPr>
          <w:rFonts w:ascii="Times New Roman;serif" w:hAnsi="Times New Roman;serif"/>
          <w:b w:val="false"/>
          <w:color w:val="000000"/>
          <w:sz w:val="14"/>
        </w:rPr>
        <w:t>(1)Constant currency is a non-GAAP financial measure. Refer to the “Non-GAAP Financial Measures” section for additional information, including our definition and our use of constant currency, and for a reconciliation of constant currency growth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Research and development. </w:t>
      </w:r>
      <w:r>
        <w:rPr>
          <w:rFonts w:ascii="Times New Roman;serif" w:hAnsi="Times New Roman;serif"/>
          <w:b w:val="false"/>
          <w:color w:val="000000"/>
          <w:sz w:val="20"/>
        </w:rPr>
        <w:t>For the three and six months ended June 30, 2025, on a constant currency basis, research and development expenses increased primarily due to increases in headcount</w:t>
        <w:noBreakHyphen/>
        <w:t>related costs of $10,041 and $15,802, respectively, mainly due to increases in headcount, and annual and other compensation costs.</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 xml:space="preserve">Selling and marketing. </w:t>
      </w:r>
      <w:r>
        <w:rPr>
          <w:rFonts w:ascii="Times New Roman;serif" w:hAnsi="Times New Roman;serif"/>
          <w:b w:val="false"/>
          <w:color w:val="000000"/>
          <w:sz w:val="20"/>
        </w:rPr>
        <w:t>For the three and six months ended June 30, 2025, on a constant currency basis, selling and marketing expenses increased primarily due to an increase in headcount</w:t>
        <w:noBreakHyphen/>
        <w:t>related costs $9,145 and $17,074, respectively, mainly due to increases in headcount, and annual and other compensation costs, and an increase in promotional costs of $1,987 and $2,609,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pPr>
      <w:r>
        <w:rPr>
          <w:rFonts w:ascii="Times New Roman;serif" w:hAnsi="Times New Roman;serif"/>
          <w:b w:val="false"/>
          <w:i/>
          <w:color w:val="000000"/>
          <w:sz w:val="20"/>
        </w:rPr>
        <w:t>General and administrative</w:t>
      </w:r>
      <w:r>
        <w:rPr>
          <w:rFonts w:ascii="Times New Roman;serif" w:hAnsi="Times New Roman;serif"/>
          <w:b w:val="false"/>
          <w:color w:val="000000"/>
          <w:sz w:val="20"/>
        </w:rPr>
        <w:t>. For the three months ended June 30, 2025, on a constant currency basis, general and administrative expenses decreased primarily due to a decrease in headcount</w:t>
        <w:noBreakHyphen/>
        <w:t>related costs of $5,185, mainly due to lower incentive compensation expense related to the reduction in Gregory S. Bentley’s fractional interest under the Bonus Plan as part of Mr. Bentley’s transition to the role of Executive Chair effective July 1, 2024. Additionally, during the three months ended June 30, 2024, we recognized approximately $2,200 of other corporate initiatives expenses, which did not recur in the current year period. Partially offsetting these decreases were higher charitable contributions focusing on education and sustainability of $2,037.</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on a constant currency basis, general and administrative expenses decreased primarily due to a decrease in headcount</w:t>
        <w:noBreakHyphen/>
        <w:t>related costs of $5,748, mainly due to lower incentive compensation expense related to the change in the Bonus Plan described above, partially offset by increases in headcount, and annual and other compensation costs. Additionally, during the six months ended June 30, 2024, we recognized approximately $2,200 of other corporate initiatives expenses, which did not recur in the current year period. Partially offsetting these decreases were higher costs associated with our internal-use software implementations as compared to the same period in the prior year and higher charitable contributions focusing on education and sustainability of $1,981.</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Deferred compensation plan</w:t>
      </w:r>
      <w:r>
        <w:rPr>
          <w:rFonts w:ascii="Times New Roman;serif" w:hAnsi="Times New Roman;serif"/>
          <w:b w:val="false"/>
          <w:color w:val="000000"/>
          <w:sz w:val="20"/>
        </w:rPr>
        <w:t>. For the three and six months ended June 30, 2025 and 2024, deferred compensation plan expense was attributable to the marked to market impact on deferred compensation plan liability balances period over period.</w:t>
      </w:r>
    </w:p>
    <w:p>
      <w:pPr>
        <w:pStyle w:val="TextBody"/>
        <w:bidi w:val="0"/>
        <w:spacing w:lineRule="auto" w:line="288" w:before="0" w:after="200"/>
        <w:ind w:left="0" w:right="0" w:firstLine="360"/>
        <w:jc w:val="both"/>
        <w:rPr/>
      </w:pPr>
      <w:r>
        <w:rPr>
          <w:rFonts w:ascii="Times New Roman;serif" w:hAnsi="Times New Roman;serif"/>
          <w:b w:val="false"/>
          <w:i/>
          <w:color w:val="000000"/>
          <w:sz w:val="20"/>
        </w:rPr>
        <w:t>Amortization of purchased intangibles.</w:t>
      </w:r>
      <w:r>
        <w:rPr>
          <w:color w:val="000000"/>
        </w:rPr>
        <w:t xml:space="preserve"> </w:t>
      </w:r>
      <w:r>
        <w:rPr>
          <w:rFonts w:ascii="Times New Roman;serif" w:hAnsi="Times New Roman;serif"/>
          <w:b w:val="false"/>
          <w:color w:val="000000"/>
          <w:sz w:val="20"/>
        </w:rPr>
        <w:t>For the three and six months ended June 30, 2025, on a constant currency basis, amortization of purchased intangibles decreased primarily due to lower acquisition activity as compared to prior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Interest Expense, Net</w:t>
      </w:r>
    </w:p>
    <w:tbl>
      <w:tblPr>
        <w:tblW w:w="8757" w:type="dxa"/>
        <w:jc w:val="center"/>
        <w:tblInd w:w="0" w:type="dxa"/>
        <w:tblLayout w:type="fixed"/>
        <w:tblCellMar>
          <w:top w:w="28" w:type="dxa"/>
          <w:left w:w="28" w:type="dxa"/>
          <w:bottom w:w="28" w:type="dxa"/>
          <w:right w:w="28" w:type="dxa"/>
        </w:tblCellMar>
      </w:tblPr>
      <w:tblGrid>
        <w:gridCol w:w="564"/>
        <w:gridCol w:w="496"/>
        <w:gridCol w:w="499"/>
        <w:gridCol w:w="196"/>
        <w:gridCol w:w="631"/>
        <w:gridCol w:w="109"/>
        <w:gridCol w:w="109"/>
        <w:gridCol w:w="109"/>
        <w:gridCol w:w="109"/>
        <w:gridCol w:w="196"/>
        <w:gridCol w:w="631"/>
        <w:gridCol w:w="109"/>
        <w:gridCol w:w="109"/>
        <w:gridCol w:w="109"/>
        <w:gridCol w:w="109"/>
        <w:gridCol w:w="240"/>
        <w:gridCol w:w="241"/>
        <w:gridCol w:w="357"/>
        <w:gridCol w:w="109"/>
        <w:gridCol w:w="109"/>
        <w:gridCol w:w="109"/>
        <w:gridCol w:w="196"/>
        <w:gridCol w:w="631"/>
        <w:gridCol w:w="109"/>
        <w:gridCol w:w="109"/>
        <w:gridCol w:w="109"/>
        <w:gridCol w:w="109"/>
        <w:gridCol w:w="196"/>
        <w:gridCol w:w="721"/>
        <w:gridCol w:w="109"/>
        <w:gridCol w:w="109"/>
        <w:gridCol w:w="109"/>
        <w:gridCol w:w="109"/>
        <w:gridCol w:w="240"/>
        <w:gridCol w:w="241"/>
        <w:gridCol w:w="410"/>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4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2025, interest expense, net decreased primarily due to lower weighted average debt outstanding under the credit facilities as compared to the same periods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Other (Expense) Income, Net</w:t>
      </w:r>
    </w:p>
    <w:tbl>
      <w:tblPr>
        <w:tblW w:w="8339" w:type="dxa"/>
        <w:jc w:val="center"/>
        <w:tblInd w:w="0" w:type="dxa"/>
        <w:tblLayout w:type="fixed"/>
        <w:tblCellMar>
          <w:top w:w="28" w:type="dxa"/>
          <w:left w:w="28" w:type="dxa"/>
          <w:bottom w:w="28" w:type="dxa"/>
          <w:right w:w="28" w:type="dxa"/>
        </w:tblCellMar>
      </w:tblPr>
      <w:tblGrid>
        <w:gridCol w:w="1238"/>
        <w:gridCol w:w="1087"/>
        <w:gridCol w:w="1094"/>
        <w:gridCol w:w="211"/>
        <w:gridCol w:w="691"/>
        <w:gridCol w:w="109"/>
        <w:gridCol w:w="109"/>
        <w:gridCol w:w="109"/>
        <w:gridCol w:w="109"/>
        <w:gridCol w:w="211"/>
        <w:gridCol w:w="616"/>
        <w:gridCol w:w="109"/>
        <w:gridCol w:w="109"/>
        <w:gridCol w:w="109"/>
        <w:gridCol w:w="109"/>
        <w:gridCol w:w="211"/>
        <w:gridCol w:w="691"/>
        <w:gridCol w:w="109"/>
        <w:gridCol w:w="109"/>
        <w:gridCol w:w="109"/>
        <w:gridCol w:w="109"/>
        <w:gridCol w:w="211"/>
        <w:gridCol w:w="61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gain from:</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interest rate swap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Foreign exchange </w:t>
            </w:r>
            <w:r>
              <w:rPr>
                <w:rFonts w:ascii="Times New Roman;serif" w:hAnsi="Times New Roman;serif"/>
                <w:b w:val="false"/>
                <w:color w:val="000000"/>
                <w:sz w:val="13"/>
              </w:rPr>
              <w:t>(1)</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Receipts related to interest rate swap</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(expense) income,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(1)Foreign exchange gain (loss) is primarily attributable to foreign currency translation derived mainly from U.S. dollar denominated cash and cash equivalents, account receivables, customer deposits, and intercompany balances held by foreign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8432" w:type="dxa"/>
        <w:jc w:val="center"/>
        <w:tblInd w:w="0" w:type="dxa"/>
        <w:tblLayout w:type="fixed"/>
        <w:tblCellMar>
          <w:top w:w="28" w:type="dxa"/>
          <w:left w:w="28" w:type="dxa"/>
          <w:bottom w:w="28" w:type="dxa"/>
          <w:right w:w="28" w:type="dxa"/>
        </w:tblCellMar>
      </w:tblPr>
      <w:tblGrid>
        <w:gridCol w:w="863"/>
        <w:gridCol w:w="757"/>
        <w:gridCol w:w="764"/>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6"/>
      </w:tblGrid>
      <w:tr>
        <w:trPr/>
        <w:tc>
          <w:tcPr>
            <w:tcW w:w="863"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169,905 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27,577 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the effective tax rate was higher compared to the same period in the prior year primarily due to the impact of a decrease in discrete tax benefits recognized, partially offset by the decrease in forecasted effective tax rate impact of U.S. international tax provisions. For the three months ended June 30, 2025 and 2024, we recorded discrete tax benefits of $8,114 and $18,543, respectively, primarily associated with windfall tax benefits from stock</w:t>
        <w:noBreakHyphen/>
        <w:t>based compensation, net of the impact from officer compensation limitation provisions.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the effective tax rate was lower as compared to the same period in the prior year primarily due to the impact of the decrease in forecasted effective tax rate impact of U.S. international tax provisions, partially offset by a decrease in discrete tax benefits recognized. For the six months ended June 30, 2025 and 2024, we recorded discrete tax benefits of $13,187 and $20,681, respectively, primarily associated with windfall tax benefits from stock</w:t>
        <w:noBreakHyphen/>
        <w:t>based compensation, net of the impact from officer compensation limitation provisions.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4, 2025, President Trump signed into law the One Big Beautiful Bill Act (“OBBBA”). The OBBBA includes the permanent extension of certain expiring provisions of the Tax Cuts and Jobs Act, modifications to the international tax framework, and the restoration of favorable tax treatment for certain business provisions. The legislation has multiple effective dates. Based on our preliminary impact assessment, we believe the OBBBA will have a favorable impact on our cash paid for income taxes in 2025, primarily attributable to the change in restoring immediate U.S. tax deductions for domestic research and development expenses. We are still evaluating the full impact of the OBBBA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Key Business Metrics: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of operations discussed above, we believe the following presentation of key business metrics provides additional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w:t>
      </w:r>
    </w:p>
    <w:tbl>
      <w:tblPr>
        <w:tblW w:w="7457" w:type="dxa"/>
        <w:jc w:val="center"/>
        <w:tblInd w:w="0" w:type="dxa"/>
        <w:tblLayout w:type="fixed"/>
        <w:tblCellMar>
          <w:top w:w="28" w:type="dxa"/>
          <w:left w:w="28" w:type="dxa"/>
          <w:bottom w:w="28" w:type="dxa"/>
          <w:right w:w="28" w:type="dxa"/>
        </w:tblCellMar>
      </w:tblPr>
      <w:tblGrid>
        <w:gridCol w:w="1506"/>
        <w:gridCol w:w="1322"/>
        <w:gridCol w:w="1341"/>
        <w:gridCol w:w="211"/>
        <w:gridCol w:w="976"/>
        <w:gridCol w:w="271"/>
        <w:gridCol w:w="109"/>
        <w:gridCol w:w="109"/>
        <w:gridCol w:w="109"/>
        <w:gridCol w:w="211"/>
        <w:gridCol w:w="976"/>
        <w:gridCol w:w="316"/>
      </w:tblGrid>
      <w:tr>
        <w:trPr/>
        <w:tc>
          <w:tcPr>
            <w:tcW w:w="1506"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1,215,910 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Last twelve-months recurring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1,309,010 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1,162,849 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Twelve-months ended constant currency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 growth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 retention 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Recurring revenues dollar-based net retention 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(1)Constant currency is a non-GAAP financial measure. Refer to the “Non-GAAP Financial Measures” section for additional information, including our definition and our use of constant currency.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are the basis for our other revenue-related key business metrics. We believe this measure is useful in evaluating our ability to consistently retain and grow our revenues within our existing accounts.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are subscriptions revenues that recur monthly, quarterly, or annually with specific or automatic renewal clauses and professional services revenues in which the underlying contract is based on a fixed fee and contains automatic annual renewal provisions.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ARR</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is a key business metric that we believe is useful in evaluating the scale and growth of our business as well as to assist in the evaluation of underlying trends in our business. Furthermore, we believe ARR, considered in connection with our last twelve</w:t>
        <w:noBreakHyphen/>
        <w:t>month recurring revenues dollar</w:t>
        <w:noBreakHyphen/>
        <w:t>based net retention rate, is a leading indicator of revenue growth.</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is defined as the sum of the annualized value of our portfolio of contracts that produce recurring revenues as of the last day of the reporting period, and the annualized value of the last three months of recognized revenues for our contractually recurring consumption</w:t>
        <w:noBreakHyphen/>
        <w:t>based software subscriptions with consumption measurement durations of less than one year, calculated using the spot foreign currency exchange rates. We believe that the last three months of recognized revenues, on an annualized basis, for our recurring software subscriptions with consumption measurement period durations of less than one year is a reasonable estimate of the annual revenues, given our consistently high retention rate and stability of usage under such subscriptions.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ARR resulting from the annualization of recurring contracts with consumption measurement durations of less than one year, as a percentage of total ARR, was 51% and 49% as of June 30, 2025 and 2024, respectively, with our E365 subscription offering representing 45% and 43% of total ARR as of June 30, 2025 and 2024, respectively.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Constant currency ARR growth rate is the growth rate of ARR measured on a constant currency basis. In reporting period</w:t>
        <w:noBreakHyphen/>
        <w:t>over</w:t>
        <w:noBreakHyphen/>
        <w:t>period ARR growth rates in constant currency, we calculate constant currency growth rates by translating current and prior period ARR on a transactional basis to our reporting currency using current year budget exchange rates. We believe that ARR growth is an important metric indicating the scale and growth of our business.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Last Twelve</w:t>
        <w:noBreakHyphen/>
        <w:t>Months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Last twelve</w:t>
        <w:noBreakHyphen/>
        <w:t>month recurring revenues is a key business metric that we believe is useful in evaluating our ability to consistently retain and grow our recurring revenues. We believe that we will continue to experience favorable growth in recurring revenues primarily due to our strong account retention and recurring revenues dollar</w:t>
        <w:noBreakHyphen/>
        <w:t>based net retention rates, as well as the addition of new accounts with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Last twelve</w:t>
        <w:noBreakHyphen/>
        <w:t>months recurring revenues is calculated as recurring revenues recognized over the preceding twelve</w:t>
        <w:noBreakHyphen/>
        <w:t>month period.</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last twelve</w:t>
        <w:noBreakHyphen/>
        <w:t>months recurring revenues for the periods ended June 30, 2025 compared to the last twelve</w:t>
        <w:noBreakHyphen/>
        <w:t>months of the comparative twelve</w:t>
        <w:noBreakHyphen/>
        <w:t>month period increased by $146,161. This increase was primarily due to growth in ARR, which is primarily the result of growing our recurring revenues within our existing accounts as expressed in our recurring revenues dollar</w:t>
        <w:noBreakHyphen/>
        <w:t>based net retention rate, as well as additional recurring revenues resulting from new accounts and acquisitions. For the twelve months ended June 30, 2025 and 2024, 92% and 90%, respectively, of our revenues were recurring revenues.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Account Retention Rate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 retention rate is a key business metric that we believe is useful in evaluating the long</w:t>
        <w:noBreakHyphen/>
        <w:t>term value of our account relationships and our ability to retain our account base. We believe that our consistent and high account retention rates illustrate our ability to retain and cultivate long</w:t>
        <w:noBreakHyphen/>
        <w:t>term relationships with our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Account retention rate for any given twelve-month period is calculated using the average foreign currency exchange rates for the prior period, as follows: the prior period recurring revenues from all accounts with recurring revenues in the current and prior period, divided by total recurring revenues from all accounts during the prior period.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Recurring Revenues Dollar</w:t>
        <w:noBreakHyphen/>
        <w:t>Based Net Retention Rate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dollar</w:t>
        <w:noBreakHyphen/>
        <w:t>based net retention rate is a key business metric that we believe is useful in evaluating our ability to consistently retain and grow our recurring revenues.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Recurring revenues dollar</w:t>
        <w:noBreakHyphen/>
        <w:t>based net retention rate is calculated, using the average exchange rates for the prior period, as follows: the recurring revenues for the current period, including any growth or reductions from existing accounts, but excluding recurring revenues from any new accounts added during the current period, divided by the total recurring revenues from all accounts during the prior period. A period is defined as any trailing twelve months. Related to our platform acquisitions, recurring revenues into new accounts will be captured as existing accounts starting with the second anniversary of the acquisition when such data conforms to the calculation methodology. This may cause variability in the comparison.</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Given that recurring revenues represented 92% and 90% of our total revenues for the twelve months ended June 30, 2025 and 2024, respectively, this metric helps explain our revenue performance as primarily growth from existing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our results determined in accordance with GAAP discussed above, we believe the following presentation of financial measures not in accordance with GAAP provides useful information to investors regarding our results of operations. To the extent material, we disclose below the additional purposes, if any, for which our management uses these non</w:t>
        <w:noBreakHyphen/>
        <w:t>GAAP financial measures and provide reconciliations between these non</w:t>
        <w:noBreakHyphen/>
        <w:t>GAAP financial measures and their most directly comparable GAAP financial measures. Non</w:t>
        <w:noBreakHyphen/>
        <w:t>GAAP financial information should be considered in addition to, not as a substitute for, or in isolation from, the financial information prepared in accordance with GAAP, including operating income, or other measures of performance. Our non</w:t>
        <w:noBreakHyphen/>
        <w:t>GAAP financial measures may vary significantly from period to period for reasons unrelated to our operating performance and may differ from similarly titled measures presented by other companies.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Adjusted Operating Income Less Stock-Based Compensation Expense (“AOI less SBC”)</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SBC is a non-GAAP financial measure and is used to measure the operational strength and performance of our business, as well as to assist in the evaluation of underlying trends in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SBC is defined as operating income adjusted for the following: amortization of purchased intangibles, expense (income) relating to deferred compensation plan liabilities, acquisition expenses, and realignment expenses (income), for the respective periods.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AOI less SBC is our primary performance measure, which excludes certain expenses and charges, including the non-cash amortization expense resulting from the acquisition of intangible assets, as we believe these may not be indicative of our core business operating results. We intentionally include stock-based compensation expense in this measure as we believe it better captures the economic costs of our business.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uses this non-GAAP financial measure to understand and compare operating results across accounting periods, for internal budgeting and forecasting purposes, to evaluate financial performance, and in our comparison of our financial results to those of other companies. It is also a significant performance measure in certain of our executive incentive compensation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Adjusted Operating Income (“AOI”)</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is a non-GAAP financial measure that we believe is useful to investors in making comparisons to other companies, although this measure may not be directly comparable to similar measures used by other companies.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operating income is defined as operating income adjusted for the following: amortization of purchased intangibles, expense (income) relating to deferred compensation plan liabilities, acquisition expenses, realignment expenses (income), and stock</w:t>
        <w:noBreakHyphen/>
        <w:t>based compensation expense, for the respective periods.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Reconciliation of operating income to AOI less SBC and to Adjusted operating income:</w:t>
      </w:r>
    </w:p>
    <w:tbl>
      <w:tblPr>
        <w:tblW w:w="9059" w:type="dxa"/>
        <w:jc w:val="center"/>
        <w:tblInd w:w="0" w:type="dxa"/>
        <w:tblLayout w:type="fixed"/>
        <w:tblCellMar>
          <w:top w:w="28" w:type="dxa"/>
          <w:left w:w="28" w:type="dxa"/>
          <w:bottom w:w="28" w:type="dxa"/>
          <w:right w:w="28" w:type="dxa"/>
        </w:tblCellMar>
      </w:tblPr>
      <w:tblGrid>
        <w:gridCol w:w="1248"/>
        <w:gridCol w:w="1097"/>
        <w:gridCol w:w="110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172,108 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purchased intangibles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Deferred compensation plan </w:t>
            </w:r>
            <w:r>
              <w:rPr>
                <w:rFonts w:ascii="Times New Roman;serif" w:hAnsi="Times New Roman;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expenses </w:t>
            </w:r>
            <w:r>
              <w:rPr>
                <w:rFonts w:ascii="Times New Roman;serif" w:hAnsi="Times New Roman;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Realignment expenses </w:t>
            </w:r>
            <w:r>
              <w:rPr>
                <w:rFonts w:ascii="Times New Roman;serif" w:hAnsi="Times New Roman;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AOI less SBC</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95,293 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Stock-based compensation expense </w:t>
            </w:r>
            <w:r>
              <w:rPr>
                <w:rFonts w:ascii="Times New Roman;serif" w:hAnsi="Times New Roman;serif"/>
                <w:b w:val="false"/>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248,831 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color w:val="000000"/>
          <w:sz w:val="18"/>
        </w:rPr>
      </w:pPr>
      <w:r>
        <w:rPr>
          <w:rFonts w:ascii="Times New Roman;serif" w:hAnsi="Times New Roman;serif"/>
          <w:b w:val="false"/>
          <w:color w:val="000000"/>
          <w:sz w:val="18"/>
        </w:rPr>
        <w:t>Further explanation of certain of our adjustments in arriving at AOI less SBC and Adjusted operating income are as follows:</w:t>
      </w:r>
    </w:p>
    <w:p>
      <w:pPr>
        <w:pStyle w:val="TextBody"/>
        <w:bidi w:val="0"/>
        <w:spacing w:lineRule="auto" w:line="288" w:before="0" w:after="120"/>
        <w:ind w:left="0" w:right="0" w:hanging="360"/>
        <w:jc w:val="both"/>
        <w:rPr/>
      </w:pPr>
      <w:r>
        <w:rPr>
          <w:rFonts w:ascii="Times New Roman;serif" w:hAnsi="Times New Roman;serif"/>
          <w:b w:val="false"/>
          <w:color w:val="000000"/>
          <w:sz w:val="18"/>
        </w:rPr>
        <w:t>(1)</w:t>
      </w:r>
      <w:r>
        <w:rPr>
          <w:rFonts w:ascii="Times New Roman;serif" w:hAnsi="Times New Roman;serif"/>
          <w:b w:val="false"/>
          <w:i/>
          <w:color w:val="000000"/>
          <w:sz w:val="18"/>
        </w:rPr>
        <w:t>Amortization of purchased intangibles</w:t>
      </w:r>
      <w:r>
        <w:rPr>
          <w:rFonts w:ascii="Times New Roman;serif" w:hAnsi="Times New Roman;serif"/>
          <w:b w:val="false"/>
          <w:color w:val="000000"/>
          <w:sz w:val="18"/>
        </w:rPr>
        <w:t>. Amortization of purchased intangibles varies in amount and frequency and is significantly impacted by the timing and size of our acquisitions. Management finds it useful to exclude these non</w:t>
        <w:noBreakHyphen/>
        <w:t>cash charges from our operating expenses to assist in budgeting, planning, and forecasting future periods. The use of intangible assets contributed to our revenues earned during the periods presented and will also contribute to our revenues in future periods. Amortization of purchased intangible assets will recur in future periods.</w:t>
      </w:r>
    </w:p>
    <w:p>
      <w:pPr>
        <w:pStyle w:val="TextBody"/>
        <w:bidi w:val="0"/>
        <w:spacing w:lineRule="auto" w:line="288" w:before="0" w:after="120"/>
        <w:ind w:left="0" w:right="0" w:hanging="360"/>
        <w:jc w:val="both"/>
        <w:rPr/>
      </w:pPr>
      <w:r>
        <w:rPr>
          <w:rFonts w:ascii="Times New Roman;serif" w:hAnsi="Times New Roman;serif"/>
          <w:b w:val="false"/>
          <w:color w:val="000000"/>
          <w:sz w:val="18"/>
        </w:rPr>
        <w:t>(2)</w:t>
      </w:r>
      <w:r>
        <w:rPr>
          <w:rFonts w:ascii="Times New Roman;serif" w:hAnsi="Times New Roman;serif"/>
          <w:b w:val="false"/>
          <w:i/>
          <w:color w:val="000000"/>
          <w:sz w:val="18"/>
        </w:rPr>
        <w:t>Deferred compensation plan</w:t>
      </w:r>
      <w:r>
        <w:rPr>
          <w:rFonts w:ascii="Times New Roman;serif" w:hAnsi="Times New Roman;serif"/>
          <w:b w:val="false"/>
          <w:color w:val="000000"/>
          <w:sz w:val="18"/>
        </w:rPr>
        <w:t xml:space="preserve">. We exclude </w:t>
      </w:r>
      <w:r>
        <w:rPr>
          <w:rFonts w:ascii="Times New Roman;serif" w:hAnsi="Times New Roman;serif"/>
          <w:b w:val="false"/>
          <w:i/>
          <w:color w:val="000000"/>
          <w:sz w:val="18"/>
        </w:rPr>
        <w:t>Deferred compensation plan</w:t>
      </w:r>
      <w:r>
        <w:rPr>
          <w:color w:val="000000"/>
        </w:rPr>
        <w:t xml:space="preserve"> </w:t>
      </w:r>
      <w:r>
        <w:rPr>
          <w:rFonts w:ascii="Times New Roman;serif" w:hAnsi="Times New Roman;serif"/>
          <w:b w:val="false"/>
          <w:color w:val="000000"/>
          <w:sz w:val="18"/>
        </w:rPr>
        <w:t xml:space="preserve">expense (income) when we evaluate our continuing operational performance because it is not reflective of our ongoing business and results of operation. We believe it is useful for investors to understand the effects of this item on our total operating expenses. Deferred compensation plan liabilities are marked to market at the end of each reporting period, with changes in the liabilities recorded as an expense (income) to </w:t>
      </w:r>
      <w:r>
        <w:rPr>
          <w:rFonts w:ascii="Times New Roman;serif" w:hAnsi="Times New Roman;serif"/>
          <w:b w:val="false"/>
          <w:i/>
          <w:color w:val="000000"/>
          <w:sz w:val="18"/>
        </w:rPr>
        <w:t>Deferred compensation plan</w:t>
      </w:r>
      <w:r>
        <w:rPr>
          <w:color w:val="000000"/>
        </w:rPr>
        <w:t xml:space="preserve"> </w:t>
      </w:r>
      <w:r>
        <w:rPr>
          <w:rFonts w:ascii="Times New Roman;serif" w:hAnsi="Times New Roman;serif"/>
          <w:b w:val="false"/>
          <w:color w:val="000000"/>
          <w:sz w:val="18"/>
        </w:rPr>
        <w:t>in the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both"/>
        <w:rPr/>
      </w:pPr>
      <w:r>
        <w:rPr>
          <w:rFonts w:ascii="Times New Roman;serif" w:hAnsi="Times New Roman;serif"/>
          <w:b w:val="false"/>
          <w:color w:val="000000"/>
          <w:sz w:val="18"/>
        </w:rPr>
        <w:t>(3)</w:t>
      </w:r>
      <w:r>
        <w:rPr>
          <w:rFonts w:ascii="Times New Roman;serif" w:hAnsi="Times New Roman;serif"/>
          <w:b w:val="false"/>
          <w:i/>
          <w:color w:val="000000"/>
          <w:sz w:val="18"/>
        </w:rPr>
        <w:t>Acquisition expenses</w:t>
      </w:r>
      <w:r>
        <w:rPr>
          <w:rFonts w:ascii="Times New Roman;serif" w:hAnsi="Times New Roman;serif"/>
          <w:b w:val="false"/>
          <w:color w:val="000000"/>
          <w:sz w:val="18"/>
        </w:rPr>
        <w:t>. We incur expenses for professional services rendered in connection with business combinations, which are included in our GAAP presentation of general and administrative expense. Also included in our acquisition expenses are retention incentives paid to executives of the acquired companies. We exclude these acquisition expenses when we evaluate our continuing operational performance as we would not have otherwise incurred these expenses in the periods presented as part of our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360"/>
        <w:jc w:val="both"/>
        <w:rPr/>
      </w:pPr>
      <w:r>
        <w:rPr>
          <w:rFonts w:ascii="Times New Roman;serif" w:hAnsi="Times New Roman;serif"/>
          <w:b w:val="false"/>
          <w:color w:val="000000"/>
          <w:sz w:val="18"/>
        </w:rPr>
        <w:t>(4)</w:t>
      </w:r>
      <w:r>
        <w:rPr>
          <w:rFonts w:ascii="Times New Roman;serif" w:hAnsi="Times New Roman;serif"/>
          <w:b w:val="false"/>
          <w:i/>
          <w:color w:val="000000"/>
          <w:sz w:val="18"/>
        </w:rPr>
        <w:t>Realignment expenses</w:t>
      </w:r>
      <w:r>
        <w:rPr>
          <w:rFonts w:ascii="Times New Roman;serif" w:hAnsi="Times New Roman;serif"/>
          <w:b w:val="false"/>
          <w:color w:val="000000"/>
          <w:sz w:val="18"/>
        </w:rPr>
        <w:t xml:space="preserve">. We exclude these charges and subsequent adjustments to our estimates when we evaluate our continuing operational performance because they are not reflective of our ongoing business and results of operations. We believe it is useful for investors to understand the effects of these items on our total operating expenses. For the three and six months ended June 30, 2024, </w:t>
      </w:r>
      <w:r>
        <w:rPr>
          <w:rFonts w:ascii="Times New Roman;serif" w:hAnsi="Times New Roman;serif"/>
          <w:b w:val="false"/>
          <w:i/>
          <w:color w:val="000000"/>
          <w:sz w:val="18"/>
        </w:rPr>
        <w:t>Realignment expenses</w:t>
      </w:r>
      <w:r>
        <w:rPr>
          <w:color w:val="000000"/>
        </w:rPr>
        <w:t xml:space="preserve"> </w:t>
      </w:r>
      <w:r>
        <w:rPr>
          <w:rFonts w:ascii="Times New Roman;serif" w:hAnsi="Times New Roman;serif"/>
          <w:b w:val="false"/>
          <w:color w:val="000000"/>
          <w:sz w:val="18"/>
        </w:rPr>
        <w:t>were primarily associated with the 2023 Program.</w:t>
      </w:r>
    </w:p>
    <w:p>
      <w:pPr>
        <w:pStyle w:val="TextBody"/>
        <w:bidi w:val="0"/>
        <w:spacing w:lineRule="auto" w:line="288" w:before="0" w:after="200"/>
        <w:ind w:left="0" w:right="0" w:hanging="360"/>
        <w:jc w:val="both"/>
        <w:rPr/>
      </w:pPr>
      <w:r>
        <w:rPr>
          <w:rFonts w:ascii="Times New Roman;serif" w:hAnsi="Times New Roman;serif"/>
          <w:b w:val="false"/>
          <w:color w:val="000000"/>
          <w:sz w:val="18"/>
        </w:rPr>
        <w:t>(5)</w:t>
      </w:r>
      <w:r>
        <w:rPr>
          <w:rFonts w:ascii="Times New Roman;serif" w:hAnsi="Times New Roman;serif"/>
          <w:b w:val="false"/>
          <w:i/>
          <w:color w:val="000000"/>
          <w:sz w:val="18"/>
        </w:rPr>
        <w:t>Stock</w:t>
        <w:noBreakHyphen/>
        <w:t>based compensation expense</w:t>
      </w:r>
      <w:r>
        <w:rPr>
          <w:rFonts w:ascii="Times New Roman;serif" w:hAnsi="Times New Roman;serif"/>
          <w:b w:val="false"/>
          <w:color w:val="000000"/>
          <w:sz w:val="18"/>
        </w:rPr>
        <w:t>. We exclude non-cash stock</w:t>
        <w:noBreakHyphen/>
        <w:t>based compensation expenses from certain of our non</w:t>
        <w:noBreakHyphen/>
        <w:t>GAAP measures because we believe this is useful to investors in making comparisons to other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Constant Currency</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Constant currency and constant currency growth rates are non-GAAP financial measures that present our results of operations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reporting period</w:t>
        <w:noBreakHyphen/>
        <w:t>over</w:t>
        <w:noBreakHyphen/>
        <w:t>period results, except for ARR as discussed above in “Key Business Metrics” section, we calculate the effects of foreign currency fluctuations and constant currency information by translating current and prior period results on a transactional basis to our reporting currency using prior period average foreign currency exchange rates in which the transactions occurred.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Reconciliation of consolidated revenues to consolidated revenues in constant currency:</w:t>
      </w:r>
    </w:p>
    <w:tbl>
      <w:tblPr>
        <w:tblW w:w="10205" w:type="dxa"/>
        <w:jc w:val="center"/>
        <w:tblInd w:w="0" w:type="dxa"/>
        <w:tblLayout w:type="fixed"/>
        <w:tblCellMar>
          <w:top w:w="28" w:type="dxa"/>
          <w:left w:w="28" w:type="dxa"/>
          <w:bottom w:w="28" w:type="dxa"/>
          <w:right w:w="28" w:type="dxa"/>
        </w:tblCellMar>
      </w:tblPr>
      <w:tblGrid>
        <w:gridCol w:w="501"/>
        <w:gridCol w:w="440"/>
        <w:gridCol w:w="441"/>
        <w:gridCol w:w="211"/>
        <w:gridCol w:w="826"/>
        <w:gridCol w:w="109"/>
        <w:gridCol w:w="109"/>
        <w:gridCol w:w="109"/>
        <w:gridCol w:w="109"/>
        <w:gridCol w:w="279"/>
        <w:gridCol w:w="863"/>
        <w:gridCol w:w="144"/>
        <w:gridCol w:w="109"/>
        <w:gridCol w:w="109"/>
        <w:gridCol w:w="109"/>
        <w:gridCol w:w="220"/>
        <w:gridCol w:w="863"/>
        <w:gridCol w:w="113"/>
        <w:gridCol w:w="109"/>
        <w:gridCol w:w="109"/>
        <w:gridCol w:w="109"/>
        <w:gridCol w:w="211"/>
        <w:gridCol w:w="826"/>
        <w:gridCol w:w="109"/>
        <w:gridCol w:w="109"/>
        <w:gridCol w:w="109"/>
        <w:gridCol w:w="109"/>
        <w:gridCol w:w="296"/>
        <w:gridCol w:w="717"/>
        <w:gridCol w:w="153"/>
        <w:gridCol w:w="109"/>
        <w:gridCol w:w="109"/>
        <w:gridCol w:w="109"/>
        <w:gridCol w:w="220"/>
        <w:gridCol w:w="862"/>
        <w:gridCol w:w="166"/>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1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330,261 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297,103 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340,359 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308,307 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307,964 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360,503 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07"/>
        <w:gridCol w:w="446"/>
        <w:gridCol w:w="447"/>
        <w:gridCol w:w="211"/>
        <w:gridCol w:w="826"/>
        <w:gridCol w:w="109"/>
        <w:gridCol w:w="109"/>
        <w:gridCol w:w="109"/>
        <w:gridCol w:w="109"/>
        <w:gridCol w:w="324"/>
        <w:gridCol w:w="716"/>
        <w:gridCol w:w="170"/>
        <w:gridCol w:w="109"/>
        <w:gridCol w:w="109"/>
        <w:gridCol w:w="109"/>
        <w:gridCol w:w="221"/>
        <w:gridCol w:w="868"/>
        <w:gridCol w:w="114"/>
        <w:gridCol w:w="109"/>
        <w:gridCol w:w="109"/>
        <w:gridCol w:w="109"/>
        <w:gridCol w:w="211"/>
        <w:gridCol w:w="826"/>
        <w:gridCol w:w="109"/>
        <w:gridCol w:w="109"/>
        <w:gridCol w:w="109"/>
        <w:gridCol w:w="109"/>
        <w:gridCol w:w="306"/>
        <w:gridCol w:w="745"/>
        <w:gridCol w:w="158"/>
        <w:gridCol w:w="109"/>
        <w:gridCol w:w="109"/>
        <w:gridCol w:w="109"/>
        <w:gridCol w:w="221"/>
        <w:gridCol w:w="866"/>
        <w:gridCol w:w="169"/>
      </w:tblGrid>
      <w:tr>
        <w:trPr/>
        <w:tc>
          <w:tcPr>
            <w:tcW w:w="50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675,912 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603,860 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Perpetual licenses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20,372 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Subscriptions and licenses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696,755 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696,965 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624,232 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667,423 </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revenues by geographic region to revenues by geographic region in constant currency:</w:t>
      </w:r>
    </w:p>
    <w:tbl>
      <w:tblPr>
        <w:tblW w:w="10205" w:type="dxa"/>
        <w:jc w:val="center"/>
        <w:tblInd w:w="0" w:type="dxa"/>
        <w:tblLayout w:type="fixed"/>
        <w:tblCellMar>
          <w:top w:w="28" w:type="dxa"/>
          <w:left w:w="28" w:type="dxa"/>
          <w:bottom w:w="28" w:type="dxa"/>
          <w:right w:w="28" w:type="dxa"/>
        </w:tblCellMar>
      </w:tblPr>
      <w:tblGrid>
        <w:gridCol w:w="351"/>
        <w:gridCol w:w="309"/>
        <w:gridCol w:w="311"/>
        <w:gridCol w:w="211"/>
        <w:gridCol w:w="826"/>
        <w:gridCol w:w="109"/>
        <w:gridCol w:w="109"/>
        <w:gridCol w:w="109"/>
        <w:gridCol w:w="109"/>
        <w:gridCol w:w="314"/>
        <w:gridCol w:w="983"/>
        <w:gridCol w:w="162"/>
        <w:gridCol w:w="109"/>
        <w:gridCol w:w="109"/>
        <w:gridCol w:w="109"/>
        <w:gridCol w:w="225"/>
        <w:gridCol w:w="883"/>
        <w:gridCol w:w="116"/>
        <w:gridCol w:w="109"/>
        <w:gridCol w:w="109"/>
        <w:gridCol w:w="109"/>
        <w:gridCol w:w="211"/>
        <w:gridCol w:w="826"/>
        <w:gridCol w:w="109"/>
        <w:gridCol w:w="109"/>
        <w:gridCol w:w="109"/>
        <w:gridCol w:w="109"/>
        <w:gridCol w:w="340"/>
        <w:gridCol w:w="834"/>
        <w:gridCol w:w="175"/>
        <w:gridCol w:w="109"/>
        <w:gridCol w:w="109"/>
        <w:gridCol w:w="109"/>
        <w:gridCol w:w="224"/>
        <w:gridCol w:w="881"/>
        <w:gridCol w:w="170"/>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194,451 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176,257 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95,727 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64,399 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58,018 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360,503 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330,337 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330,002 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tbl>
      <w:tblPr>
        <w:tblW w:w="10205" w:type="dxa"/>
        <w:jc w:val="center"/>
        <w:tblInd w:w="0" w:type="dxa"/>
        <w:tblLayout w:type="fixed"/>
        <w:tblCellMar>
          <w:top w:w="28" w:type="dxa"/>
          <w:left w:w="28" w:type="dxa"/>
          <w:bottom w:w="28" w:type="dxa"/>
          <w:right w:w="28" w:type="dxa"/>
        </w:tblCellMar>
      </w:tblPr>
      <w:tblGrid>
        <w:gridCol w:w="351"/>
        <w:gridCol w:w="309"/>
        <w:gridCol w:w="311"/>
        <w:gridCol w:w="211"/>
        <w:gridCol w:w="826"/>
        <w:gridCol w:w="109"/>
        <w:gridCol w:w="109"/>
        <w:gridCol w:w="109"/>
        <w:gridCol w:w="109"/>
        <w:gridCol w:w="327"/>
        <w:gridCol w:w="956"/>
        <w:gridCol w:w="169"/>
        <w:gridCol w:w="109"/>
        <w:gridCol w:w="109"/>
        <w:gridCol w:w="109"/>
        <w:gridCol w:w="225"/>
        <w:gridCol w:w="883"/>
        <w:gridCol w:w="116"/>
        <w:gridCol w:w="109"/>
        <w:gridCol w:w="109"/>
        <w:gridCol w:w="109"/>
        <w:gridCol w:w="211"/>
        <w:gridCol w:w="826"/>
        <w:gridCol w:w="109"/>
        <w:gridCol w:w="109"/>
        <w:gridCol w:w="109"/>
        <w:gridCol w:w="109"/>
        <w:gridCol w:w="341"/>
        <w:gridCol w:w="837"/>
        <w:gridCol w:w="176"/>
        <w:gridCol w:w="109"/>
        <w:gridCol w:w="109"/>
        <w:gridCol w:w="109"/>
        <w:gridCol w:w="225"/>
        <w:gridCol w:w="881"/>
        <w:gridCol w:w="171"/>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2,192 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395,226 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360,503 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360,368 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EMEA</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(2,756)</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209,663 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190,261 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APAC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116,794 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734,822 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667,423 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cost of revenues to cost of revenues in constant currency:</w:t>
      </w:r>
    </w:p>
    <w:tbl>
      <w:tblPr>
        <w:tblW w:w="10205" w:type="dxa"/>
        <w:jc w:val="center"/>
        <w:tblInd w:w="0" w:type="dxa"/>
        <w:tblLayout w:type="fixed"/>
        <w:tblCellMar>
          <w:top w:w="28" w:type="dxa"/>
          <w:left w:w="28" w:type="dxa"/>
          <w:bottom w:w="28" w:type="dxa"/>
          <w:right w:w="28" w:type="dxa"/>
        </w:tblCellMar>
      </w:tblPr>
      <w:tblGrid>
        <w:gridCol w:w="560"/>
        <w:gridCol w:w="491"/>
        <w:gridCol w:w="494"/>
        <w:gridCol w:w="211"/>
        <w:gridCol w:w="721"/>
        <w:gridCol w:w="109"/>
        <w:gridCol w:w="109"/>
        <w:gridCol w:w="109"/>
        <w:gridCol w:w="109"/>
        <w:gridCol w:w="331"/>
        <w:gridCol w:w="809"/>
        <w:gridCol w:w="171"/>
        <w:gridCol w:w="109"/>
        <w:gridCol w:w="109"/>
        <w:gridCol w:w="109"/>
        <w:gridCol w:w="230"/>
        <w:gridCol w:w="787"/>
        <w:gridCol w:w="118"/>
        <w:gridCol w:w="109"/>
        <w:gridCol w:w="109"/>
        <w:gridCol w:w="109"/>
        <w:gridCol w:w="211"/>
        <w:gridCol w:w="721"/>
        <w:gridCol w:w="109"/>
        <w:gridCol w:w="109"/>
        <w:gridCol w:w="109"/>
        <w:gridCol w:w="109"/>
        <w:gridCol w:w="351"/>
        <w:gridCol w:w="776"/>
        <w:gridCol w:w="184"/>
        <w:gridCol w:w="109"/>
        <w:gridCol w:w="109"/>
        <w:gridCol w:w="109"/>
        <w:gridCol w:w="229"/>
        <w:gridCol w:w="784"/>
        <w:gridCol w:w="173"/>
      </w:tblGrid>
      <w:tr>
        <w:trPr/>
        <w:tc>
          <w:tcPr>
            <w:tcW w:w="56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42,616 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68,322 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63,374 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528"/>
        <w:gridCol w:w="464"/>
        <w:gridCol w:w="466"/>
        <w:gridCol w:w="211"/>
        <w:gridCol w:w="826"/>
        <w:gridCol w:w="109"/>
        <w:gridCol w:w="109"/>
        <w:gridCol w:w="109"/>
        <w:gridCol w:w="109"/>
        <w:gridCol w:w="317"/>
        <w:gridCol w:w="701"/>
        <w:gridCol w:w="166"/>
        <w:gridCol w:w="109"/>
        <w:gridCol w:w="109"/>
        <w:gridCol w:w="109"/>
        <w:gridCol w:w="221"/>
        <w:gridCol w:w="865"/>
        <w:gridCol w:w="114"/>
        <w:gridCol w:w="109"/>
        <w:gridCol w:w="109"/>
        <w:gridCol w:w="109"/>
        <w:gridCol w:w="211"/>
        <w:gridCol w:w="826"/>
        <w:gridCol w:w="109"/>
        <w:gridCol w:w="109"/>
        <w:gridCol w:w="109"/>
        <w:gridCol w:w="109"/>
        <w:gridCol w:w="358"/>
        <w:gridCol w:w="640"/>
        <w:gridCol w:w="187"/>
        <w:gridCol w:w="109"/>
        <w:gridCol w:w="109"/>
        <w:gridCol w:w="109"/>
        <w:gridCol w:w="220"/>
        <w:gridCol w:w="864"/>
        <w:gridCol w:w="167"/>
      </w:tblGrid>
      <w:tr>
        <w:trPr/>
        <w:tc>
          <w:tcPr>
            <w:tcW w:w="52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subscriptions and licenses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94,635 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82,591 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42,365 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 of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134,895 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124,956 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Reconciliation of operating expenses to operating expenses in constant currency:</w:t>
      </w:r>
    </w:p>
    <w:tbl>
      <w:tblPr>
        <w:tblW w:w="10205" w:type="dxa"/>
        <w:jc w:val="center"/>
        <w:tblInd w:w="0" w:type="dxa"/>
        <w:tblLayout w:type="fixed"/>
        <w:tblCellMar>
          <w:top w:w="28" w:type="dxa"/>
          <w:left w:w="28" w:type="dxa"/>
          <w:bottom w:w="28" w:type="dxa"/>
          <w:right w:w="28" w:type="dxa"/>
        </w:tblCellMar>
      </w:tblPr>
      <w:tblGrid>
        <w:gridCol w:w="622"/>
        <w:gridCol w:w="466"/>
        <w:gridCol w:w="469"/>
        <w:gridCol w:w="211"/>
        <w:gridCol w:w="826"/>
        <w:gridCol w:w="109"/>
        <w:gridCol w:w="109"/>
        <w:gridCol w:w="109"/>
        <w:gridCol w:w="109"/>
        <w:gridCol w:w="290"/>
        <w:gridCol w:w="702"/>
        <w:gridCol w:w="150"/>
        <w:gridCol w:w="109"/>
        <w:gridCol w:w="109"/>
        <w:gridCol w:w="109"/>
        <w:gridCol w:w="219"/>
        <w:gridCol w:w="861"/>
        <w:gridCol w:w="113"/>
        <w:gridCol w:w="109"/>
        <w:gridCol w:w="109"/>
        <w:gridCol w:w="109"/>
        <w:gridCol w:w="211"/>
        <w:gridCol w:w="826"/>
        <w:gridCol w:w="109"/>
        <w:gridCol w:w="109"/>
        <w:gridCol w:w="109"/>
        <w:gridCol w:w="109"/>
        <w:gridCol w:w="290"/>
        <w:gridCol w:w="702"/>
        <w:gridCol w:w="150"/>
        <w:gridCol w:w="109"/>
        <w:gridCol w:w="109"/>
        <w:gridCol w:w="109"/>
        <w:gridCol w:w="219"/>
        <w:gridCol w:w="859"/>
        <w:gridCol w:w="166"/>
      </w:tblGrid>
      <w:tr>
        <w:trPr/>
        <w:tc>
          <w:tcPr>
            <w:tcW w:w="62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65,504 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69,588 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57,120 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210,032 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186,967 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186,738 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tbl>
      <w:tblPr>
        <w:tblW w:w="10205" w:type="dxa"/>
        <w:jc w:val="center"/>
        <w:tblInd w:w="0" w:type="dxa"/>
        <w:tblLayout w:type="fixed"/>
        <w:tblCellMar>
          <w:top w:w="28" w:type="dxa"/>
          <w:left w:w="28" w:type="dxa"/>
          <w:bottom w:w="28" w:type="dxa"/>
          <w:right w:w="28" w:type="dxa"/>
        </w:tblCellMar>
      </w:tblPr>
      <w:tblGrid>
        <w:gridCol w:w="613"/>
        <w:gridCol w:w="457"/>
        <w:gridCol w:w="459"/>
        <w:gridCol w:w="211"/>
        <w:gridCol w:w="826"/>
        <w:gridCol w:w="109"/>
        <w:gridCol w:w="109"/>
        <w:gridCol w:w="109"/>
        <w:gridCol w:w="109"/>
        <w:gridCol w:w="274"/>
        <w:gridCol w:w="800"/>
        <w:gridCol w:w="141"/>
        <w:gridCol w:w="109"/>
        <w:gridCol w:w="109"/>
        <w:gridCol w:w="109"/>
        <w:gridCol w:w="218"/>
        <w:gridCol w:w="857"/>
        <w:gridCol w:w="113"/>
        <w:gridCol w:w="109"/>
        <w:gridCol w:w="109"/>
        <w:gridCol w:w="109"/>
        <w:gridCol w:w="211"/>
        <w:gridCol w:w="826"/>
        <w:gridCol w:w="109"/>
        <w:gridCol w:w="109"/>
        <w:gridCol w:w="109"/>
        <w:gridCol w:w="109"/>
        <w:gridCol w:w="334"/>
        <w:gridCol w:w="598"/>
        <w:gridCol w:w="174"/>
        <w:gridCol w:w="109"/>
        <w:gridCol w:w="109"/>
        <w:gridCol w:w="109"/>
        <w:gridCol w:w="218"/>
        <w:gridCol w:w="856"/>
        <w:gridCol w:w="166"/>
      </w:tblGrid>
      <w:tr>
        <w:trPr/>
        <w:tc>
          <w:tcPr>
            <w:tcW w:w="613"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2024</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Impact of Foreign Exchange at 2024 Rates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Constant Currency</w:t>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149,031 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134,052 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133,770 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97,504 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6,682 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purchased intangibles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400,599 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403,066 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370,969 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370,872 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Cash and Cash Equivalents</w:t>
      </w:r>
    </w:p>
    <w:tbl>
      <w:tblPr>
        <w:tblW w:w="7630" w:type="dxa"/>
        <w:jc w:val="center"/>
        <w:tblInd w:w="0" w:type="dxa"/>
        <w:tblLayout w:type="fixed"/>
        <w:tblCellMar>
          <w:top w:w="28" w:type="dxa"/>
          <w:left w:w="28" w:type="dxa"/>
          <w:bottom w:w="28" w:type="dxa"/>
          <w:right w:w="28" w:type="dxa"/>
        </w:tblCellMar>
      </w:tblPr>
      <w:tblGrid>
        <w:gridCol w:w="1651"/>
        <w:gridCol w:w="1452"/>
        <w:gridCol w:w="1456"/>
        <w:gridCol w:w="234"/>
        <w:gridCol w:w="800"/>
        <w:gridCol w:w="121"/>
        <w:gridCol w:w="109"/>
        <w:gridCol w:w="109"/>
        <w:gridCol w:w="109"/>
        <w:gridCol w:w="308"/>
        <w:gridCol w:w="1055"/>
        <w:gridCol w:w="226"/>
      </w:tblGrid>
      <w:tr>
        <w:trPr/>
        <w:tc>
          <w:tcPr>
            <w:tcW w:w="1651" w:type="dxa"/>
            <w:tcBorders/>
            <w:vAlign w:val="center"/>
          </w:tcPr>
          <w:p>
            <w:pPr>
              <w:pStyle w:val="TableContents"/>
              <w:bidi w:val="0"/>
              <w:spacing w:before="0" w:after="283"/>
              <w:jc w:val="left"/>
              <w:rPr>
                <w:sz w:val="4"/>
                <w:szCs w:val="4"/>
              </w:rPr>
            </w:pPr>
            <w:r>
              <w:rPr>
                <w:sz w:val="4"/>
                <w:szCs w:val="4"/>
              </w:rPr>
            </w:r>
          </w:p>
        </w:tc>
        <w:tc>
          <w:tcPr>
            <w:tcW w:w="145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held domestically</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held by foreign subsidiaries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84,071 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61,164 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64,009 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primary source of operating cash is from the sale of our subscriptions, perpetual licenses, and services. Our primary use of cash is payment of our operating costs, which consist mainly of headcount</w:t>
        <w:noBreakHyphen/>
        <w:t>related costs. In addition to operating expenses, we also use cash to service our debt obligations, to pay quarterly dividends, to repurchase our Class B common stock and convertible debt, and for capital expenditures in support of our operations. We also use cash to fund our acquisitions of software assets and businesses, and other investment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believe that cash generated from operations, together with existing cash and cash equivalent balances, and external borrowings including available liquidity under the Credit Facility, will be sufficient to meet our domestic and international working capital and capital expenditure requirements. We regularly review our capital structure and consider a variety of potential financing alternatives and planning strategies to ensure that we have the proper liquidity available in the locations in which it is needed and to fund our operations and growth investments with cash that has not been permanently reinvested outside the U.S. Our future capital requirements may be materially different than those currently planned in our budgeting and forecasting activities and depend on many factors, including our strategy of regularly acquiring and integrating specialized infrastructure engineering software businesses, our rate of revenue growth, the timing and extent of spending on research and development, the expansion of our sales and marketing activities, the timing of new product introductions, market acceptance of our products, competitive factors, our discretionary payments of dividends or repurchases of our Class B common stock and convertible debt, funding of our purchase commitments, currency fluctuations, and overall economic conditions, globally. To the extent that current and anticipated future sources of liquidity are insufficient to fund our future business activities and requirements, we may be required to seek additional equity or debt financing. The sale of additional equity would result in additional dilution to our stockholders, while the incurrence of additional debt financing, including convertible debt, would result in additional debt service obligations. Such debt instruments also could introduce new or modified covenants that might restrict our operations and/or our ability to pay dividends, consummate acquisitions, or otherwise pursue our business strategies. We cannot provide assurance that we could obtain additional financing on favorable terms or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Cash Flows Activity</w:t>
      </w:r>
    </w:p>
    <w:tbl>
      <w:tblPr>
        <w:tblW w:w="5468" w:type="dxa"/>
        <w:jc w:val="center"/>
        <w:tblInd w:w="0" w:type="dxa"/>
        <w:tblLayout w:type="fixed"/>
        <w:tblCellMar>
          <w:top w:w="28" w:type="dxa"/>
          <w:left w:w="28" w:type="dxa"/>
          <w:bottom w:w="28" w:type="dxa"/>
          <w:right w:w="28" w:type="dxa"/>
        </w:tblCellMar>
      </w:tblPr>
      <w:tblGrid>
        <w:gridCol w:w="961"/>
        <w:gridCol w:w="843"/>
        <w:gridCol w:w="850"/>
        <w:gridCol w:w="211"/>
        <w:gridCol w:w="901"/>
        <w:gridCol w:w="109"/>
        <w:gridCol w:w="109"/>
        <w:gridCol w:w="109"/>
        <w:gridCol w:w="109"/>
        <w:gridCol w:w="211"/>
        <w:gridCol w:w="901"/>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(270,999)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compared to the same period in the prior year, net cash provided by operating activities was higher by $12,945 due to an increase in net income of $19,482, partially offset by a net decrease in non</w:t>
        <w:noBreakHyphen/>
        <w:t>cash adjustments of $3,935 and a decrease in net cash flows from the change in operating assets and liabilities of $2,602. The decrease in net cash flows from the change in operating assets and liabilities period over period was primarily due to lower period over period Cloud Services Subscription deposits, and accruals and other liabilities. Offsetting these decreases were increases primarily due to timing of collections on our receivables, the overall timing of payments for income taxes and for software maintenance contracts, as well as lower capitalized internal</w:t>
        <w:noBreakHyphen/>
        <w:t>use software implementation costs compared to the same period in the prior year.</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lower by $3,811 for the six months ended June 30, 2025, compared to the same period in the prior year, primarily due to lower acquisition related payments of $5,000.</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lower by $13,490 for the six months ended June 30, 2025, compared to the same period in the prior year, primarily due to lower net paydowns of the credit facilities of $61,713, partially offset by higher payments for shares acquired of $27,661, including shares repurchased under the Repurchase Program, higher dividend payments of $6,642, primarily due to an increase in our quarterly dividend per share to $0.07 in 2025 from $0.06 in 2024, and lower proceeds from the exercise of stock options of $4,007. Additionally, we paid $9,797 in cash to repurchase $10,000 aggregate principal amount of our outstanding 2026 Notes during the first quarter of 2025.</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Long-Term Debt</w:t>
      </w:r>
    </w:p>
    <w:tbl>
      <w:tblPr>
        <w:tblW w:w="6046" w:type="dxa"/>
        <w:jc w:val="center"/>
        <w:tblInd w:w="0" w:type="dxa"/>
        <w:tblLayout w:type="fixed"/>
        <w:tblCellMar>
          <w:top w:w="28" w:type="dxa"/>
          <w:left w:w="28" w:type="dxa"/>
          <w:bottom w:w="28" w:type="dxa"/>
          <w:right w:w="28" w:type="dxa"/>
        </w:tblCellMar>
      </w:tblPr>
      <w:tblGrid>
        <w:gridCol w:w="1027"/>
        <w:gridCol w:w="900"/>
        <w:gridCol w:w="907"/>
        <w:gridCol w:w="211"/>
        <w:gridCol w:w="976"/>
        <w:gridCol w:w="109"/>
        <w:gridCol w:w="109"/>
        <w:gridCol w:w="109"/>
        <w:gridCol w:w="109"/>
        <w:gridCol w:w="250"/>
        <w:gridCol w:w="1157"/>
        <w:gridCol w:w="182"/>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long-term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1,388,088 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1,245,843 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1,388,088 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we had $1,299,850 available under the Credit Facility, and we were in compliance with all covenants under the Credit Facility, the 2026 Notes, and the 2027 Notes. Any failure to comply with such covenants under the Credit Facility would prevent us from being able to borrow additional funds under the Credit Facility, and, as with any failure to comply with such covenants under the 2026 Notes and the 2027 Notes, could constitute a default that may cause all amounts outstanding to become due and immediately payable in full.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converted, upon maturity in January 2026, we will be required to repay the outstanding principal amount on the 2026 Notes, which, as of June 30, 2025, was $677,830. As of June 30, 2025, the 2026 Notes were classified as long</w:t>
        <w:noBreakHyphen/>
        <w:t>term in the consolidated balance sheets as we currently have the ability and intent to refinance them on a long</w:t>
        <w:noBreakHyphen/>
        <w:t>term basis through available capacity under the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 Repurchases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BSY Stock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Board of Directors approved the Repurchase Program authorizing us to repurchase up to $200,000 of our Class B common stock and/or outstanding convertible senior notes through June 30, 2026. We may use available working capital, cash provided by operating activities, and/or external borrowings including available liquidity under our Credit Facility to make repurchases.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we repurchased 1,173,041 shares for $50,023, and $10,000 aggregate principal amount of our outstanding 2026 Notes for $9,797 under the Repurchase Program. During the six months ended June 30, 2024, we repurchased 729,681 shares for $37,515 under the Repurchase Program.</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timing, as well as the number and value of shares and/or outstanding convertible senior notes repurchased under the Repurchase Program, will be determined at our discretion and will depend on a variety of factors, including our assessment of the intrinsic value of our shares, the market price of our Class B common stock and outstanding convertible senior notes, general market and economic conditions, available liquidity, compliance with our debt and other agreements, and applicable legal requirements.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Withholding Taxes on Certain Equity Awards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the right to require that certain equity awardees receive gross or net quantities of shares of our Class B common stock, including distributions from the DCP and share issuances under our Bonus Plan. In the case of a gross issuance or distribution, an awardee is required to reimburse promptly to us the cash required for his or her tax withholding amounts. Conversely, under a net issuance or distribution, shares are withheld in consideration of remitting withholding taxes on behalf of an equity awardee, thereby requiring us to remit cash for the tax withholdings. We exercised our right to require that impacted equity awardees receive gross quantities of our Class B common stock during the first quarter of 2025, but we allowed impacted awardees the option to receive net quantities of shares of our Class B common stock during the second quarter of 2025. During the six months ended June 30, 2024, we exercised our right to require that impacted equity awardees receive gross quantities of our Class B common stock. We will continue to evaluate whether share awards will be required to be received by awardees on a gross basis, or if net settlement may be elected by awardees.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Dividend Payments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declaration and payment of dividends is within the discretion of our Board of Directors. We paid quarterly dividends of $0.07 per share of common stock during the six months ended June 30, 2025 and $0.06 per share of common stock during the six months ended June 30, 2024. While we intend to continue paying quarterly dividends, any future determination will be subject to the discretion of our Board of Directors and will be dependent on a number of factors, including our results of operations, capital requirements, restrictions under Delaware law, and overall financial condition, as well as any other factors our Board of Directors considers relevant. In addition, the terms of the agreement governing the Credit Facility limit the amount of dividends we can pay.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exposure as described in Part II, Item 7A. Quantitative and Qualitative Disclosures About Market Risk in our 2024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Evaluation of Effectiveness of Disclosure Controls and Procedures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maintains disclosure controls and procedures as defined in Rules 13a</w:t>
        <w:noBreakHyphen/>
        <w:t>15(e) and 15d</w:t>
        <w:noBreakHyphen/>
        <w:t>15(e) under the Securities Exchange Act of 1934, as amended (the “Exchange Act”) that are designed to provide reasonable assurance that information required to be disclosed in our reports filed or submitted under the Exchange Act is processed, recorded, summarized, and reported within the time periods specified in the SEC’s rules and forms, and that such information is accumulated and communicated to our management, including our Chief Executive Officer and Chief Financial Officer (our principal executive officer and principal financial officer, respectively), as appropriate, to allow for timely decisions regarding required disclosure.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evaluated, under the supervision and with the participation of management, including our principal executive and principal financial officers, the effectiveness of the design and operation of our disclosure controls and procedures as of the end of the period covered by this report. Based on this evaluation, our principal executive officer and principal financial officer concluded that, as of June 30, 2025, our disclosure controls and procedures were effective at the reasonable assurance level.</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 over financial reporting will necessarily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Bentley Systems, Incorporated have been detected.</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identified in management’s evaluation pursuant to Rules 13a or 15d of the Exchange Act that occurred during the quarter ended June 30,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subject from time to time to various legal proceedings and claims which arise in the ordinary course of our business. Although the outcome of these and other claims cannot be predicted with certainty, we do not believe that the ultimate resolution of pending matters will have a material adverse effect on our financial condition, results of operations, or cash flows. We currently believe that we do not have any material litigation pending against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Part I, Item 1A. Risk Factors in our 2024 Annual Report on Form 10</w:t>
        <w:noBreakHyphen/>
        <w:t>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Recent Sales of Unregistered Equity Securities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April 1, 2025 to June 30, 2025, we issued 883,626 shares of our Class B common stock in connection with distributions from our DCP.</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 of the foregoing transactions involved any underwriters, underwriting discounts or commissions, or any public offering. Unless otherwise stated, the sales of the above securities were deemed to be exempt from registration under the Securities Act in reliance on Rule 701 promulgated under Section 3(b) of the Securities Act as transactions by an issuer pursuant to benefit plans and contracts relating to compensation as provided under Rule 701. All recipients had adequate access, through their relationships with us, to information about us. The issuance of these securities were made without any general solicitation or advertising.</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18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reflects our Class B common stock we repurchased during the three months ended June 30, 2025:</w:t>
      </w:r>
    </w:p>
    <w:tbl>
      <w:tblPr>
        <w:tblW w:w="9599" w:type="dxa"/>
        <w:jc w:val="center"/>
        <w:tblInd w:w="0" w:type="dxa"/>
        <w:tblLayout w:type="fixed"/>
        <w:tblCellMar>
          <w:top w:w="28" w:type="dxa"/>
          <w:left w:w="28" w:type="dxa"/>
          <w:bottom w:w="28" w:type="dxa"/>
          <w:right w:w="28" w:type="dxa"/>
        </w:tblCellMar>
      </w:tblPr>
      <w:tblGrid>
        <w:gridCol w:w="848"/>
        <w:gridCol w:w="747"/>
        <w:gridCol w:w="759"/>
        <w:gridCol w:w="109"/>
        <w:gridCol w:w="109"/>
        <w:gridCol w:w="109"/>
        <w:gridCol w:w="459"/>
        <w:gridCol w:w="459"/>
        <w:gridCol w:w="461"/>
        <w:gridCol w:w="109"/>
        <w:gridCol w:w="109"/>
        <w:gridCol w:w="109"/>
        <w:gridCol w:w="269"/>
        <w:gridCol w:w="766"/>
        <w:gridCol w:w="149"/>
        <w:gridCol w:w="109"/>
        <w:gridCol w:w="109"/>
        <w:gridCol w:w="109"/>
        <w:gridCol w:w="524"/>
        <w:gridCol w:w="524"/>
        <w:gridCol w:w="526"/>
        <w:gridCol w:w="109"/>
        <w:gridCol w:w="109"/>
        <w:gridCol w:w="109"/>
        <w:gridCol w:w="251"/>
        <w:gridCol w:w="1352"/>
        <w:gridCol w:w="197"/>
      </w:tblGrid>
      <w:tr>
        <w:trPr/>
        <w:tc>
          <w:tcPr>
            <w:tcW w:w="84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Purchased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Value of Shares that</w:t>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Part of Publicly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May Yet Be Purchased</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Announced Plan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Under the Plan </w:t>
            </w:r>
            <w:r>
              <w:rPr>
                <w:rFonts w:ascii="Times New Roman;serif" w:hAnsi="Times New Roman;serif"/>
                <w:b/>
                <w:color w:val="000000"/>
                <w:sz w:val="10"/>
              </w:rPr>
              <w:t>(2)</w:t>
            </w:r>
          </w:p>
        </w:tc>
      </w:tr>
      <w:tr>
        <w:trPr/>
        <w:tc>
          <w:tcPr>
            <w:tcW w:w="23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2025 to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499,143 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499,143 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113,358,334 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2025 to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113,358,334 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2025 to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113,358,334 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499,143 </w:t>
            </w:r>
          </w:p>
        </w:tc>
        <w:tc>
          <w:tcPr>
            <w:tcW w:w="4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40.07 </w:t>
            </w:r>
          </w:p>
        </w:tc>
        <w:tc>
          <w:tcPr>
            <w:tcW w:w="14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499,143 </w:t>
            </w:r>
          </w:p>
        </w:tc>
        <w:tc>
          <w:tcPr>
            <w:tcW w:w="5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(1)Represents shares purchased in open</w:t>
        <w:noBreakHyphen/>
        <w:t>market transactions under the Repurchase Program approved by our Board of Directors.</w:t>
      </w:r>
    </w:p>
    <w:p>
      <w:pPr>
        <w:pStyle w:val="TextBody"/>
        <w:bidi w:val="0"/>
        <w:spacing w:lineRule="auto" w:line="288" w:before="0" w:after="20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(2)These amounts correspond to the plan publicly announced and approved by our Board of Directors in March 2024 that authorizes the repurchase of up to $200 million of our Class B common stock and/or outstanding convertible senior notes through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14, 2025, Julien Moutte, the Company’s Chief Technology Officer, terminated a trading plan established pursuant to Rule 10b5</w:t>
        <w:noBreakHyphen/>
        <w:t>1 of the Exchange Act, which was intended to satisfy the affirmative defense conditions of Rule 10b5</w:t>
        <w:noBreakHyphen/>
        <w:t>1(c) and was adopted effective December 5, 2024 to sell an aggregate of 1,944 shares of our Class B common stock through June 5, 2025.</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2025, there were no other Company directors or executive officers who adopted or terminated any contract, instruction or written plan for the purchase or sale of Company securities that was intended to satisfy the affirmative defense conditions of Rule 10b5</w:t>
        <w:noBreakHyphen/>
        <w:t>1(c) or any “non-Rule 10b5</w:t>
        <w:noBreakHyphen/>
        <w:t>1 trading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319"/>
        <w:gridCol w:w="281"/>
        <w:gridCol w:w="283"/>
        <w:gridCol w:w="109"/>
        <w:gridCol w:w="109"/>
        <w:gridCol w:w="109"/>
        <w:gridCol w:w="2689"/>
        <w:gridCol w:w="2596"/>
        <w:gridCol w:w="3710"/>
      </w:tblGrid>
      <w:tr>
        <w:trPr/>
        <w:tc>
          <w:tcPr>
            <w:tcW w:w="31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710" w:type="dxa"/>
            <w:tcBorders/>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pPr>
            <w:hyperlink w:anchor="a25q2exhibit311.htm">
              <w:r>
                <w:rPr>
                  <w:rStyle w:val="InternetLink"/>
                  <w:rFonts w:ascii="Times New Roman;serif" w:hAnsi="Times New Roman;serif"/>
                  <w:b w:val="false"/>
                  <w:color w:val="0000FF"/>
                  <w:sz w:val="20"/>
                  <w:u w:val="single"/>
                </w:rPr>
                <w:t>Certification of CEO pursuant to Rule 13a-14(a) and Rule 15d-14(a) of the Securities Exchange Act of 1934, as amended</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   </w:t>
            </w: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5q2exhibit312.htm">
              <w:r>
                <w:rPr>
                  <w:rStyle w:val="InternetLink"/>
                  <w:rFonts w:ascii="Times New Roman;serif" w:hAnsi="Times New Roman;serif"/>
                  <w:b w:val="false"/>
                  <w:color w:val="0000FF"/>
                  <w:sz w:val="20"/>
                  <w:u w:val="single"/>
                </w:rPr>
                <w:t>Certification of CFO pursuant to Rule 13a-14(a) and Rule 15d-14(a) of the Securities Exchange Act of 1934, as amended</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25q2exhibit32.htm">
              <w:r>
                <w:rPr>
                  <w:rStyle w:val="InternetLink"/>
                  <w:rFonts w:ascii="Times New Roman;serif" w:hAnsi="Times New Roman;serif"/>
                  <w:b w:val="false"/>
                  <w:color w:val="0000FF"/>
                  <w:sz w:val="20"/>
                  <w:u w:val="single"/>
                </w:rPr>
                <w:t>Certification of CEO and CFO Pursuant to 18 U.S.C. Section 1350, as Adopted Pursuant to Section 906 of the Sarbanes-Oxley Act of 2002</w:t>
              </w:r>
            </w:hyperlink>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Document—the instance document does not appear in the Interactive Data File as its XBRL tags are embedded within the Inline XBRL document</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w:t>
            </w:r>
          </w:p>
        </w:tc>
      </w:tr>
      <w:tr>
        <w:trPr/>
        <w:tc>
          <w:tcPr>
            <w:tcW w:w="8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formatted as Inline XBRL and contained in Exhibit 101</w:t>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or furnished herewith. The certification attached as Exhibit 32 that accompanies this Quarterly Report on Form 10</w:t>
              <w:noBreakHyphen/>
              <w:t>Q is not deemed filed with the SEC and is not to be incorporated by reference into any filing of Bentley Systems, Incorporated under the Securities Act of 1933, as amended, or the Securities Exchange Act of 1934, as amended, whether made before or after the date of this Quarterly Report on Form 10</w:t>
              <w:noBreakHyphen/>
              <w:t>Q, irrespective of any general incorporation language contained in such filing.</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200"/>
        <w:jc w:val="both"/>
        <w:rPr/>
      </w:pPr>
      <w:hyperlink w:anchor="i433565b9411143479ae8d9a724c53b68_7">
        <w:r>
          <w:rPr>
            <w:rStyle w:val="InternetLink"/>
          </w:rPr>
          <w:t>Table</w:t>
        </w:r>
      </w:hyperlink>
      <w:hyperlink w:anchor="i433565b9411143479ae8d9a724c53b68_7">
        <w:r>
          <w:rPr>
            <w:rStyle w:val="InternetLink"/>
          </w:rPr>
          <w:t xml:space="preserve"> of Contents</w:t>
        </w:r>
      </w:hyperlink>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809"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408"/>
        <w:gridCol w:w="408"/>
        <w:gridCol w:w="408"/>
        <w:gridCol w:w="703"/>
        <w:gridCol w:w="703"/>
        <w:gridCol w:w="100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Bentley Systems, Incorporated</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6" w:before="0" w:after="4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36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 Certification Pursuant to</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Nicholas H. Cumins,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ICHOLAS</w:t>
            </w:r>
            <w:r>
              <w:rPr>
                <w:color w:val="000000"/>
              </w:rPr>
              <w:t xml:space="preserve"> </w:t>
            </w:r>
            <w:r>
              <w:rPr>
                <w:rFonts w:ascii="Times New Roman;serif" w:hAnsi="Times New Roman;serif"/>
                <w:b w:val="false"/>
                <w:color w:val="000000"/>
                <w:sz w:val="20"/>
              </w:rPr>
              <w:t>H. C</w:t>
            </w:r>
            <w:r>
              <w:rPr>
                <w:rFonts w:ascii="Times New Roman;serif" w:hAnsi="Times New Roman;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 Certification Pursuant to</w:t>
      </w:r>
    </w:p>
    <w:p>
      <w:pPr>
        <w:pStyle w:val="TextBody"/>
        <w:bidi w:val="0"/>
        <w:spacing w:lineRule="auto" w:line="288"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Section 302 of the Sarbanes-Oxley Act of 2002</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 Werner Andre, certify that: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w:t>
        <w:noBreakHyphen/>
        <w:t>Q of Bentley Systems, Incorporated (the “registrant”);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shd w:fill="FFFFFF" w:val="clear"/>
        </w:rPr>
      </w:pPr>
      <w:r>
        <w:rPr>
          <w:rFonts w:ascii="Times New Roman;serif" w:hAnsi="Times New Roman;serif"/>
          <w:b/>
          <w:color w:val="000000"/>
          <w:sz w:val="20"/>
          <w:shd w:fill="FFFFFF" w:val="clear"/>
        </w:rPr>
        <w:t>Exhibit 32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Bentley Systems, Incorporated (the “Company”) on Form 10</w:t>
        <w:noBreakHyphen/>
        <w:t>Q for the period ended June 30, 2025, as filed with the Securities and Exchange Commission on the date hereof (the “Report”), each of the undersigned officers of the Company certifies, pursuant to 18 U.S.C. Section 1350, as adopted pursuant to Section 906 of the Sarbanes-Oxley Act of 2002, that, to his knowledge: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6, 2025</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ICHOLAS</w:t>
            </w:r>
            <w:r>
              <w:rPr>
                <w:color w:val="000000"/>
              </w:rPr>
              <w:t xml:space="preserve"> </w:t>
            </w:r>
            <w:r>
              <w:rPr>
                <w:rFonts w:ascii="Times New Roman;serif" w:hAnsi="Times New Roman;serif"/>
                <w:b w:val="false"/>
                <w:color w:val="000000"/>
                <w:sz w:val="20"/>
              </w:rPr>
              <w:t>H. C</w:t>
            </w:r>
            <w:r>
              <w:rPr>
                <w:rFonts w:ascii="Times New Roman;serif" w:hAnsi="Times New Roman;serif"/>
                <w:b w:val="false"/>
                <w:color w:val="000000"/>
                <w:sz w:val="16"/>
              </w:rPr>
              <w:t>UMINS</w:t>
            </w:r>
          </w:p>
        </w:tc>
      </w:tr>
      <w:tr>
        <w:trPr/>
        <w:tc>
          <w:tcPr>
            <w:tcW w:w="249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Nicholas H. Cumins</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ERNER</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NDRE</w:t>
            </w:r>
          </w:p>
        </w:tc>
      </w:tr>
      <w:tr>
        <w:trPr/>
        <w:tc>
          <w:tcPr>
            <w:tcW w:w="2430"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Werner Andre</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21542</Words>
  <Characters>120451</Characters>
  <CharactersWithSpaces>139695</CharactersWithSpaces>
  <Paragraphs>3897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