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5908-2_4seq1.xml.htm"/>
      <w:bookmarkStart w:id="1" w:name="kstm26259082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BENTLEY GREGORY 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BENTLEY SYSTEMS, INCORPORATED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685 STOCKTON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19341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BENTLEY SYSTEMS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BSY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Executive Chair &amp;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8"/>
        <w:gridCol w:w="903"/>
        <w:gridCol w:w="772"/>
        <w:gridCol w:w="600"/>
        <w:gridCol w:w="349"/>
        <w:gridCol w:w="848"/>
        <w:gridCol w:w="456"/>
        <w:gridCol w:w="671"/>
        <w:gridCol w:w="1282"/>
        <w:gridCol w:w="1000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7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3,691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7,680,362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9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29,155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  <w:tr>
        <w:trPr/>
        <w:tc>
          <w:tcPr>
            <w:tcW w:w="239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92,654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401(K) Plan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dividend equivalent rights that accrued to the Reporting Person in connection with a dividend paid by the Issuer on awards previously granted and vest on the same terms as the awards to which they relate.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T. Fischette,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14661" TargetMode="External"/><Relationship Id="rId5" Type="http://schemas.openxmlformats.org/officeDocument/2006/relationships/hyperlink" Target="http://www.sec.gov/cgi-bin/browse-edgar?action=getcompany&amp;CIK=000103130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624</Words>
  <Characters>3364</Characters>
  <CharactersWithSpaces>3912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