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5908-3_4seq1.xml.htm"/>
      <w:bookmarkStart w:id="1" w:name="kstm26259083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Bentley Keith A.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BENTLEY SYSTEMS, INCORPORATED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685 STOCKTON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19341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BENTLEY SYSTEMS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BSY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86"/>
        <w:gridCol w:w="901"/>
        <w:gridCol w:w="771"/>
        <w:gridCol w:w="598"/>
        <w:gridCol w:w="345"/>
        <w:gridCol w:w="834"/>
        <w:gridCol w:w="445"/>
        <w:gridCol w:w="662"/>
        <w:gridCol w:w="1353"/>
        <w:gridCol w:w="985"/>
        <w:gridCol w:w="10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8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4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8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1,033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3,845,254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12,696,921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Grantor Retained Annuity Trusts</w:t>
            </w:r>
          </w:p>
        </w:tc>
      </w:tr>
      <w:tr>
        <w:trPr/>
        <w:tc>
          <w:tcPr>
            <w:tcW w:w="228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92,654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dividend equivalent rights that accrued to the Reporting Person in connection with a dividend paid by the Issuer on awards previously granted and vest on the same terms as the awards to which they relate.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T. Fischette,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5187" TargetMode="External"/><Relationship Id="rId5" Type="http://schemas.openxmlformats.org/officeDocument/2006/relationships/hyperlink" Target="http://www.sec.gov/cgi-bin/browse-edgar?action=getcompany&amp;CIK=000103130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623</Words>
  <Characters>3365</Characters>
  <CharactersWithSpaces>3913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