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2024</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001-39548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BENTLEY SYSTEMS, INCORPORATED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18"/>
        </w:rPr>
        <w:t>(610) 458-5000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October 31, 2024, the registrant had 11,537,627 shares of Class A and 290,712,297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884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58"/>
        <w:gridCol w:w="158"/>
        <w:gridCol w:w="225"/>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ans-serif" w:hAnsi="Times New Roman;sans-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8">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8">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4">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4">
              <w:r>
                <w:rPr>
                  <w:rStyle w:val="InternetLink"/>
                  <w:rFonts w:ascii="Times New Roman;sans-serif" w:hAnsi="Times New Roman;sans-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ans-serif" w:hAnsi="Times New Roman;sans-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ans-serif" w:hAnsi="Times New Roman;sans-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ans-serif" w:hAnsi="Times New Roman;sans-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ans-serif" w:hAnsi="Times New Roman;sans-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ans-serif" w:hAnsi="Times New Roman;sans-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ans-serif" w:hAnsi="Times New Roman;sans-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ans-serif" w:hAnsi="Times New Roman;sans-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ans-serif" w:hAnsi="Times New Roman;sans-serif"/>
                  <w:b w:val="false"/>
                  <w:color w:val="0000FF"/>
                  <w:sz w:val="20"/>
                  <w:u w:val="singl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ans-serif" w:hAnsi="Times New Roman;sans-serif"/>
                  <w:b w:val="false"/>
                  <w:color w:val="0000FF"/>
                  <w:sz w:val="20"/>
                  <w:u w:val="singl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ans-serif" w:hAnsi="Times New Roman;sans-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ans-serif" w:hAnsi="Times New Roman;sans-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is for the three and nine months ended September 30, 2024.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position,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BENTLEY SYSTEMS, INCORPORATED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7"/>
        <w:gridCol w:w="2064"/>
        <w:gridCol w:w="2041"/>
        <w:gridCol w:w="109"/>
        <w:gridCol w:w="109"/>
        <w:gridCol w:w="109"/>
        <w:gridCol w:w="221"/>
        <w:gridCol w:w="985"/>
        <w:gridCol w:w="123"/>
        <w:gridCol w:w="109"/>
        <w:gridCol w:w="109"/>
        <w:gridCol w:w="109"/>
        <w:gridCol w:w="217"/>
        <w:gridCol w:w="967"/>
        <w:gridCol w:w="176"/>
      </w:tblGrid>
      <w:tr>
        <w:trPr/>
        <w:tc>
          <w:tcPr>
            <w:tcW w:w="275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419,557 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2,390,392 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2,269,336 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3,396,487 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3,319,850 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760,363 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1,418,870 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1,518,403 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2,362,477 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2,435,868 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authorized 100,000,000 shares; none issued or outstanding as of September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authorized 100,000,000 shares; issued and outstanding 11,537,627 shares as of September 30,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authorized 1,800,000,000 shares; issued and outstanding 290,505,175 and 284,728,210 shares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1,127,234 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(161,932)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1,034,010 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883,982 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3,396,487 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3,319,850 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39"/>
        <w:gridCol w:w="1162"/>
        <w:gridCol w:w="1170"/>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33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(losses)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315,207,216 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313,069,132 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314,820,679 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311,915,808 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333,789,636 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332,825,186 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333,724,425 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332,144,893 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6"/>
        <w:gridCol w:w="1414"/>
        <w:gridCol w:w="142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 on retirement plan, net of tax effect of $0, $(8), $(28), and $(15),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501" w:type="dxa"/>
        <w:jc w:val="center"/>
        <w:tblInd w:w="0" w:type="dxa"/>
        <w:tblLayout w:type="fixed"/>
        <w:tblCellMar>
          <w:top w:w="28" w:type="dxa"/>
          <w:left w:w="28" w:type="dxa"/>
          <w:bottom w:w="28" w:type="dxa"/>
          <w:right w:w="28" w:type="dxa"/>
        </w:tblCellMar>
      </w:tblPr>
      <w:tblGrid>
        <w:gridCol w:w="628"/>
        <w:gridCol w:w="317"/>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871"/>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299,747,133 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2,181,214 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302,042,802 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501" w:type="dxa"/>
        <w:jc w:val="center"/>
        <w:tblInd w:w="0" w:type="dxa"/>
        <w:tblLayout w:type="fixed"/>
        <w:tblCellMar>
          <w:top w:w="28" w:type="dxa"/>
          <w:left w:w="28" w:type="dxa"/>
          <w:bottom w:w="28" w:type="dxa"/>
          <w:right w:w="28" w:type="dxa"/>
        </w:tblCellMar>
      </w:tblPr>
      <w:tblGrid>
        <w:gridCol w:w="720"/>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296,265,837 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4,655,277 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844,283 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668,586 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302,042,802 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628"/>
        <w:gridCol w:w="317"/>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294,712,983 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295,244,206 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366" w:type="dxa"/>
        <w:jc w:val="center"/>
        <w:tblInd w:w="0" w:type="dxa"/>
        <w:tblLayout w:type="fixed"/>
        <w:tblCellMar>
          <w:top w:w="28" w:type="dxa"/>
          <w:left w:w="28" w:type="dxa"/>
          <w:bottom w:w="28" w:type="dxa"/>
          <w:right w:w="28" w:type="dxa"/>
        </w:tblCellMar>
      </w:tblPr>
      <w:tblGrid>
        <w:gridCol w:w="720"/>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289,014,487 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2,845,448 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executive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2,422,082 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295,244,206 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710"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net of 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investment in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net of cash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contingent and non-contingent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purchases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shares acquired including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B common stock under approved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7536"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 Basis of Presentation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accompanying unaudited consolidated financial statements include the accounts of the Company and its consolidated subsidiaries. The accompanying unaudited consolidated financial statements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2023 Annual Report on Form 10</w:t>
      </w:r>
      <w:r>
        <w:rPr>
          <w:color w:val="000000"/>
        </w:rPr>
        <w:noBreakHyphen/>
      </w:r>
      <w:r>
        <w:rPr>
          <w:rFonts w:ascii="Times New Roman;sans-serif" w:hAnsi="Times New Roman;sans-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2023 consolidated balance sheet included herein is derived from the Company’s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March 2024, the SEC adopted the final rule under SEC Release No. 33</w:t>
        <w:noBreakHyphen/>
        <w:t xml:space="preserve">11275, </w:t>
      </w:r>
      <w:r>
        <w:rPr>
          <w:rFonts w:ascii="Times New Roman;sans-serif" w:hAnsi="Times New Roman;sans-serif"/>
          <w:b w:val="false"/>
          <w:i/>
          <w:color w:val="000000"/>
          <w:sz w:val="20"/>
        </w:rPr>
        <w:t>The Enhancement and Standardization of Climate</w:t>
        <w:noBreakHyphen/>
        <w:t>Related Disclosures for Investors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final rule requires registrants to disclose certain climate</w:t>
        <w:noBreakHyphen/>
        <w:t>related information in registration statements and annual reports. The final rule disclosure requirements will begin phasing in prospectively for the Company’s fiscal year beginning January 1, 2025. Subsequent to issuance, the final rule became the subject of litigation and the SEC issued a stay to allow the legal process to proceed. The Company is currently evaluating the impact of the final rule on its consolidated financial statements disclosures.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December 2023, the Financial Accounting Standards Board (“FASB”) issued Accounting Standards Update (“ASU”) No. 2023</w:t>
        <w:noBreakHyphen/>
        <w:t xml:space="preserve">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disclosures.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November 2023, the FASB issued ASU No. 2023</w:t>
        <w:noBreakHyphen/>
        <w:t xml:space="preserve">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(“ASU 2023</w:t>
        <w:noBreakHyphen/>
        <w:t>07”), which expands disclosures about a public entity’s reportable segments and requires more enhanced information about a reportable segment’s expenses, interim segment profit or loss, and how the Company’s chief operating decision maker (“CODM”) uses reported segment profit or loss information in assessing segment performance and allocating resources. ASU 2023</w:t>
        <w:noBreakHyphen/>
        <w:t>07 is effective for the Company for the annual reporting period beginning after December 15, 2023, and interim periods beginning after December 15, 2024. Early adoption is permitted, including adoption in an interim period. The Company is currently evaluating the impact of the adoption of ASU 2023</w:t>
        <w:noBreakHyphen/>
        <w:t>07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Disaggregation of Revenues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consist of the following:</w:t>
      </w:r>
    </w:p>
    <w:tbl>
      <w:tblPr>
        <w:tblW w:w="803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Enterprise subscriptions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(1)Enterprise subscriptions includes revenue attributable to Enterprise 365 (“E365”) subscriptions of $133,347 and $107,681 for the three months ended September 30, 2024 and 2023, respectively, and $382,013 and $301,260 for the nine months ended September 30, 2024 and 2023,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Company recognizes perpetual licenses and the term license component of subscriptions as revenue when either the licenses are delivered or at the start of the subscription term. For the three months ended September 30, 2024 and 2023, the Company recognized $166,035 and $147,340 of license related revenues, respectively, of which $154,761 and $135,453,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 For the nine months ended September 30, 2024 and 2023, the Company recognized $504,802 and $444,186 of license related revenues, respectively, of which $473,153 and $411,034, respectively, were attributable to the term license component of the Company’s subscription</w:t>
        <w:noBreakHyphen/>
        <w:t xml:space="preserve">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derived 6% and 8% of its total revenues through channel partners for the three months ended September 30, 2024 and 2023, respectively, and 7% of its total revenues through channel partners for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967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 Revenue attributable to the U.S. totaled $139,338 and $129,510 for the three months ended September 30, 2024 and 2023, respectively, and $416,600 and $384,807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Unbilled Revenues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Unbilled revenues represent revenues that have not yet been billed to customers due to timing differences in usage and billing cycles, and are included in </w:t>
      </w:r>
      <w:r>
        <w:rPr>
          <w:rFonts w:ascii="Times New Roman;sans-serif" w:hAnsi="Times New Roman;sans-serif"/>
          <w:b w:val="false"/>
          <w:i/>
          <w:color w:val="000000"/>
          <w:sz w:val="20"/>
        </w:rPr>
        <w:t>Accounts receivable</w:t>
      </w:r>
      <w:r>
        <w:rPr>
          <w:color w:val="000000"/>
        </w:rPr>
        <w:t xml:space="preserve"> </w:t>
      </w:r>
      <w:r>
        <w:rPr>
          <w:rFonts w:ascii="Times New Roman;sans-serif" w:hAnsi="Times New Roman;sans-serif"/>
          <w:b w:val="false"/>
          <w:color w:val="000000"/>
          <w:sz w:val="20"/>
        </w:rPr>
        <w:t>in the consolidated balance sheets. As of September 30, 2024 and December 31, 2023, unbilled revenues were $159,172 and $129,494, respectively.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As of September 30, 2024 and December 31, 2023, the Company’s contract assets relate to performance obligations completed in advance of the right to invoice and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in the consolidated balance sheets. Contract assets were not material as of September 30, 2024 or December 31,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billings made or payments received in advance of revenue recognition from subscriptions and services. The timing of revenue recognition may differ from the timing of billings to users. As of September 30, 2024 and December 31, 2023, total deferred revenues on the consolidated balance sheets were $241,111 and $269,647,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$211,782 of revenues that were included in the December 31, 2023 deferred revenues balance were recognized. There were additional deferrals of $182,880 for the nine months ended September 30, 2024, which were primarily related to new billings. For the nine months ended September 30, 2023, $183,335 of revenues that were included in the December 31, 2022 deferred revenues balance were recognized. There were additional deferrals of $169,368 for the nine months ended September 30, 2023, which were primarily related to new billings.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As of September 30, 2024 and December 31, 2023, the Company has deferred $19,241 and $18,269, respectively, related to portfolio balancing exchange rights which is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include amounts allocated to performance obligations that will be satisfied at a later date. As of September 30, 2024, amounts allocated to these remaining performance obligations are $241,111, of which the Company expects to recognize approximately 93%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4: Acquisitions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details of the Company’s acquisition activity are as follows:</w:t>
      </w:r>
    </w:p>
    <w:tbl>
      <w:tblPr>
        <w:tblW w:w="4854" w:type="dxa"/>
        <w:jc w:val="center"/>
        <w:tblInd w:w="0" w:type="dxa"/>
        <w:tblLayout w:type="fixed"/>
        <w:tblCellMar>
          <w:top w:w="28" w:type="dxa"/>
          <w:left w:w="28" w:type="dxa"/>
          <w:bottom w:w="28" w:type="dxa"/>
          <w:right w:w="28" w:type="dxa"/>
        </w:tblCellMar>
      </w:tblPr>
      <w:tblGrid>
        <w:gridCol w:w="727"/>
        <w:gridCol w:w="640"/>
        <w:gridCol w:w="642"/>
        <w:gridCol w:w="235"/>
        <w:gridCol w:w="920"/>
        <w:gridCol w:w="120"/>
        <w:gridCol w:w="120"/>
        <w:gridCol w:w="120"/>
        <w:gridCol w:w="120"/>
        <w:gridCol w:w="235"/>
        <w:gridCol w:w="804"/>
        <w:gridCol w:w="17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acquisitions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(1)Of the cash paid at closing, $11,000 was held in an escrow account to secure any potential indemnification and other obligations of the seller as of September 30,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were not material, individually or in the aggregate, to the Company’s consolidated statements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the purchase accounting for two acquisitions completed during the nine months ended September 30, 2024.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Acquisition costs are expensed as incurred and are recorded 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For the three months ended September 30, 2024 and 2023, the Company’s acquisition costs were $877 and insignificant, respectively, and $1,306 and $5,803 for the nine months ended September 30, 2024 and 2023, respectively, which include costs related to legal, accounting, valuation, insurance, and other consulting and transaction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fair values of the assets acquired and liabilities assumed, as well as the weighted average useful lives assigned to acquired intangible assets at the respective date of each acquisition (including contingent consideration):</w:t>
      </w:r>
    </w:p>
    <w:tbl>
      <w:tblPr>
        <w:tblW w:w="10205" w:type="dxa"/>
        <w:jc w:val="center"/>
        <w:tblInd w:w="0" w:type="dxa"/>
        <w:tblLayout w:type="fixed"/>
        <w:tblCellMar>
          <w:top w:w="28" w:type="dxa"/>
          <w:left w:w="28" w:type="dxa"/>
          <w:bottom w:w="28" w:type="dxa"/>
          <w:right w:w="28" w:type="dxa"/>
        </w:tblCellMar>
      </w:tblPr>
      <w:tblGrid>
        <w:gridCol w:w="2413"/>
        <w:gridCol w:w="2123"/>
        <w:gridCol w:w="2133"/>
        <w:gridCol w:w="304"/>
        <w:gridCol w:w="1179"/>
        <w:gridCol w:w="154"/>
        <w:gridCol w:w="109"/>
        <w:gridCol w:w="109"/>
        <w:gridCol w:w="109"/>
        <w:gridCol w:w="303"/>
        <w:gridCol w:w="1039"/>
        <w:gridCol w:w="230"/>
      </w:tblGrid>
      <w:tr>
        <w:trPr/>
        <w:tc>
          <w:tcPr>
            <w:tcW w:w="241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6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6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w:t>
            </w:r>
          </w:p>
        </w:tc>
        <w:tc>
          <w:tcPr>
            <w:tcW w:w="1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 current assets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technology (weighted average useful life of 5 and 3 years, respectively)</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(weighted average useful life of 6 years)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(weighted average useful life of 10 and 5 years, respectively)</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 excluding goodwill</w:t>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 excluding goodwill</w:t>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recorded in connection with the acquisitions was attributable to synergies expected to arise from cost saving opportunities, as well as future expected cash flows. The Company expects $5,756 of the goodwill recorded relating to the 2024 acquisitions will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6430" w:type="dxa"/>
        <w:jc w:val="center"/>
        <w:tblInd w:w="0" w:type="dxa"/>
        <w:tblLayout w:type="fixed"/>
        <w:tblCellMar>
          <w:top w:w="28" w:type="dxa"/>
          <w:left w:w="28" w:type="dxa"/>
          <w:bottom w:w="28" w:type="dxa"/>
          <w:right w:w="28" w:type="dxa"/>
        </w:tblCellMar>
      </w:tblPr>
      <w:tblGrid>
        <w:gridCol w:w="1054"/>
        <w:gridCol w:w="924"/>
        <w:gridCol w:w="932"/>
        <w:gridCol w:w="324"/>
        <w:gridCol w:w="1111"/>
        <w:gridCol w:w="169"/>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$3,361 and $3,135 for the three months ended September 30, 2024 and 2023, respectively, and $10,041 and $8,769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6: Goodwill and Other Intangible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2023</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purchased intangible assets with finite lives was reflected in the Company’s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7: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874" w:type="dxa"/>
        <w:jc w:val="center"/>
        <w:tblInd w:w="0" w:type="dxa"/>
        <w:tblLayout w:type="fixed"/>
        <w:tblCellMar>
          <w:top w:w="28" w:type="dxa"/>
          <w:left w:w="28" w:type="dxa"/>
          <w:bottom w:w="28" w:type="dxa"/>
          <w:right w:w="28" w:type="dxa"/>
        </w:tblCellMar>
      </w:tblPr>
      <w:tblGrid>
        <w:gridCol w:w="853"/>
        <w:gridCol w:w="749"/>
        <w:gridCol w:w="752"/>
        <w:gridCol w:w="324"/>
        <w:gridCol w:w="1111"/>
        <w:gridCol w:w="169"/>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Cost Method Investments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noBreakHyphen/>
        <w:t xml:space="preserve">cash contribution of the Thread business resulted in an insignificant gain,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nine months ended September 30, 2023.</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the second quarter of 2023, the Company recognized impairment charges of $7,318 to write-down certain cost method investments to their fair value primarily as a result of the investees’ decline in operating performance and the overall decline in the venture investment valuation environment. The impairment charges were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nine months ended September 30, 2023 (see Note 20).</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the third quarter of 2023, the Company recognized gains on investments of $2,360,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three and nine months ended September 30, 2023 (see Note 20).</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invested a total of $807. During the nine months ended September 30, 2023, the Company invested a total of $12,591, including $8,928 of cash and non-cash for its investment in Worldsensing. As of September 30, 2024 and December 31, 2023, the Company’s investment balance in Worldsensing was $8,928.</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acquired a business from Teralytics Holdings AG (“Teralytics”) for $5,000. As of September 30, 2024, the Company retained its ownership percentage in Teralytics. The carrying value of Teralytics was zero as of September 30, 2024 and December 31, 2023.</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joint ventures, which are accounted for using the equity method. No investments were made during the nine months ended September 30, 2024. During the nine months ended September 30, 2023, the Company invested $2,261.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of office facilities, office equipment, and automobiles. As of September 30, 2024, the Company’s leases have remaining terms of less than one year to nine years, some of which include one or more options to renew, with renewal terms from one year to five years and some of which include options to terminate the leases from less than one year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reflected in the consolidated statements of operations were as follows:</w:t>
      </w:r>
    </w:p>
    <w:tbl>
      <w:tblPr>
        <w:tblW w:w="7185"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 cost includes rent cost related to operating leases for office facilities of $3,884 and $4,180 for the three months ended September 30, 2024 and 2023, respectively, and $10,656 and $12,926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Supplemental operating cash flows and other information related to leases</w:t>
      </w:r>
      <w:r>
        <w:rPr>
          <w:color w:val="212529"/>
        </w:rPr>
        <w:t xml:space="preserve"> </w:t>
      </w:r>
      <w:r>
        <w:rPr>
          <w:rFonts w:ascii="Times New Roman;sans-serif" w:hAnsi="Times New Roman;sans-serif"/>
          <w:b w:val="false"/>
          <w:color w:val="212529"/>
          <w:sz w:val="20"/>
        </w:rPr>
        <w:t>was as follows:</w:t>
      </w:r>
    </w:p>
    <w:tbl>
      <w:tblPr>
        <w:tblW w:w="8859" w:type="dxa"/>
        <w:jc w:val="center"/>
        <w:tblInd w:w="0" w:type="dxa"/>
        <w:tblLayout w:type="fixed"/>
        <w:tblCellMar>
          <w:top w:w="28" w:type="dxa"/>
          <w:left w:w="28" w:type="dxa"/>
          <w:bottom w:w="28" w:type="dxa"/>
          <w:right w:w="28" w:type="dxa"/>
        </w:tblCellMar>
      </w:tblPr>
      <w:tblGrid>
        <w:gridCol w:w="2318"/>
        <w:gridCol w:w="2040"/>
        <w:gridCol w:w="2047"/>
        <w:gridCol w:w="211"/>
        <w:gridCol w:w="721"/>
        <w:gridCol w:w="109"/>
        <w:gridCol w:w="109"/>
        <w:gridCol w:w="109"/>
        <w:gridCol w:w="109"/>
        <w:gridCol w:w="211"/>
        <w:gridCol w:w="72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Right-of-use assets obtained in exchange for new operating lease liabilities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ans-serif" w:hAnsi="Times New Roman;sans-serif"/>
          <w:b w:val="false"/>
          <w:color w:val="231F20"/>
          <w:sz w:val="18"/>
        </w:rPr>
        <w:t>(1)</w:t>
      </w:r>
      <w:r>
        <w:rPr>
          <w:rFonts w:ascii="Times New Roman;sans-serif" w:hAnsi="Times New Roman;sans-serif"/>
          <w:b w:val="false"/>
          <w:color w:val="000000"/>
          <w:sz w:val="18"/>
        </w:rPr>
        <w:t>Right</w:t>
        <w:noBreakHyphen/>
        <w:t>of</w:t>
        <w:noBreakHyphen/>
        <w:t>use assets obtained in exchange for new operating lease liabilities does not include the impact from acquisitions of $103 and $397 for the nine months ended September 30, 2024 and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was 4.4 years and 4.6 years as of September 30, 2024 and December 31, 2023, respectively. The weighted average discount rate was 5.1% and 4.8%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9: Accruals and Other Current Liabilities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 consist of the following:</w:t>
      </w:r>
    </w:p>
    <w:tbl>
      <w:tblPr>
        <w:tblW w:w="7540" w:type="dxa"/>
        <w:jc w:val="center"/>
        <w:tblInd w:w="0" w:type="dxa"/>
        <w:tblLayout w:type="fixed"/>
        <w:tblCellMar>
          <w:top w:w="28" w:type="dxa"/>
          <w:left w:w="28" w:type="dxa"/>
          <w:bottom w:w="28" w:type="dxa"/>
          <w:right w:w="28" w:type="dxa"/>
        </w:tblCellMar>
      </w:tblPr>
      <w:tblGrid>
        <w:gridCol w:w="1457"/>
        <w:gridCol w:w="1280"/>
        <w:gridCol w:w="1283"/>
        <w:gridCol w:w="295"/>
        <w:gridCol w:w="1156"/>
        <w:gridCol w:w="153"/>
        <w:gridCol w:w="109"/>
        <w:gridCol w:w="109"/>
        <w:gridCol w:w="109"/>
        <w:gridCol w:w="281"/>
        <w:gridCol w:w="1103"/>
        <w:gridCol w:w="205"/>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Services Subscription deposits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343,452 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284,276 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customers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indirect taxes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acquisition stay bonus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cloud provisioning costs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contributions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realignment costs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accruals and other current liabilities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494,911 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457,348 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10: Long-Term Debt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w:t>
        <w:noBreakHyphen/>
        <w:t>term debt consists of the following:</w:t>
      </w:r>
    </w:p>
    <w:tbl>
      <w:tblPr>
        <w:tblW w:w="8695" w:type="dxa"/>
        <w:jc w:val="center"/>
        <w:tblInd w:w="0" w:type="dxa"/>
        <w:tblLayout w:type="fixed"/>
        <w:tblCellMar>
          <w:top w:w="28" w:type="dxa"/>
          <w:left w:w="28" w:type="dxa"/>
          <w:bottom w:w="28" w:type="dxa"/>
          <w:right w:w="28" w:type="dxa"/>
        </w:tblCellMar>
      </w:tblPr>
      <w:tblGrid>
        <w:gridCol w:w="1871"/>
        <w:gridCol w:w="1647"/>
        <w:gridCol w:w="1656"/>
        <w:gridCol w:w="261"/>
        <w:gridCol w:w="1209"/>
        <w:gridCol w:w="135"/>
        <w:gridCol w:w="109"/>
        <w:gridCol w:w="109"/>
        <w:gridCol w:w="109"/>
        <w:gridCol w:w="250"/>
        <w:gridCol w:w="1157"/>
        <w:gridCol w:w="182"/>
      </w:tblGrid>
      <w:tr>
        <w:trPr/>
        <w:tc>
          <w:tcPr>
            <w:tcW w:w="187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facility due November 2025</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2025</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January 2026 (the “2026 Notes”)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July 2027 (the “2027 Notes”)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1,418,870 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1,418,870 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$150 of letters of credit outstanding as of September 30, 2024 and December 31, 2023 under its amended and restated credit agreement, entered into on December 19, 2017 (the “Credit Facility”). As of September 30, 2024 and December 31, 2023, the Company had $732,149 and $757,822, respectively, available under the Credit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made repayments of $35,000 and $140,000, respectively, on the senior secured term loan under the Credit Facility. Under the terms of the senior secured term loan, repayments are applied to unpaid quarterly principal installments. There are no remaining required principal installments on the senior secured term loan through the maturity date of November 15,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was in compliance with all debt covenants and none of the conditions of the 2026 Notes or 2027 Notes to early convert had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Credit Facility Refinancing Subsequent to September 30,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2024, the Company entered into a second amended and restated credit agreement with a syndicate of banks (the “2024 Credit Facility”). The 2024 Credit Facility provides the Company with a $1,300,000 revolving credit facility, including $125,000 in swingline loans and $125,000 in letters of credit. The 2024 Credit Facility also provides the Company with a $500,000 “accordion” feature to increase the facility in the form of both revolving indebtedness and/or incremental term loans. On October 18, 2024, the Company used borrowings under the 2024 Credit Facility to repay all indebtedness outstanding under the Credit Facility, including the outstanding senior secured term loan.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Credit Facility matures on October 18, 2029, subject to a “springing maturity date” on the date that is 91 days prior to the maturity date of the Company’s outstanding convertible debt, unless on such date the Company meets certain liquidity requirements. Voluntary prepayments under the 2024 Credit Facility are permitted at any time without payment of any prepayment premiums.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Revolving loan borrowings under the 2024 Credit Facility bear interest, at the Company’s option, at the Alternative Base Rate or Term Secured Overnight Financing Rate (“SOFR”) that reset every one, three, or six months. Under the Term SOFR elections, revolving loan borrowings bear an interest rate of the applicable term SOFR rate plus a credit spread adjustment of 10 basis points (“bps”), plus a spread ranging from 125 bps to 225 bps as determined by the Company’s net leverage ratio. Under the non</w:t>
        <w:noBreakHyphen/>
        <w:t>Term SOFR elections, revolving loan borrowings bear a base interest rate of the highest of (i) the prime rate, (ii) the overnight bank funding effective rate plus 50 bps, or (iii) the daily simple SOFR rate plus 100 bps, plus a spread ranging from 25 bps to 125 bps as determined by the Company’s net leverage ratio.</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Swingline borrowings under the 2024 Credit Facility bear interest that resets daily. Interest on swingline borrowings bear an interest rate of the daily simple SOFR rate plus a credit spread adjustment of 10 bps, plus a spread ranging from 125 bps to 225 bps as determined by the Company’s net leverage ratio.</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commitment fee for the unused revolving credit facility ranges from 20 bps to 30 bps per annum as determined by the Company’s net leverage ratio.</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2024 Credit Facility are guaranteed by the Company’s material first tier domestic subsidiaries and are secured by a first priority security interest in substantially all of the Company’s and the guarantors’ U.S. assets, including pledges of the stock of each of their directly owned domestic and foreign subsidiaries, with the latter limited to 65% of such stock.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governing the 2024 Credit Facility contains customary affirmative and negative covenants, including restrictions on our ability to pay dividends, repurchase our Class B common stock, and make other restricted payments, as well as events of default, including, without limitation, payment defaults, breaches of representations and warranties, covenants defaults, cross-defaults to certain other indebtedness in excess of $100,000, certain events of bankruptcy and insolvency, judgment defaults in excess of $10,000, failure of any security document supporting the 2024 Credit Facility to be in full force and effect, and a change of control. The 2024 Credit Facility also contains customary financial covenants, including net leverage ratio, net senior secured leverage ratio, and interest coverage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the following:</w:t>
      </w:r>
    </w:p>
    <w:tbl>
      <w:tblPr>
        <w:tblW w:w="9089"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borrowings under the Credit Facility were 7.21% and 7.44% for the three months ended September 30, 2024 and 2023, respectively, and 7.38% and 7.04%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11: Executive Incentive Plans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Executive Bonus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$1,460 and $5,081, respectively, and $14,858 and $17,326 for the nine months ended September 30, 2024 and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Gregory S. Bentley’s transition to the role of Executive Chair of the Board of Directors effective July 1, 2024, on June 26, 2024, the Sustainability Committee of the Company’s Board of Directors (the “Committee”) approved Amendment No. 2 to the Bonus Plan pursuant to which (in addition to other conforming changes) Mr. Bentley’s fractional interest under the Bonus Pool Plan was reduced from 12/33 to 4/33 effective July 1, 2024.</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Career Stock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Nicholas H. Cumins’ transition to the role of Chief Executive Officer effective July 1, 2024, on June 26, 2024, the Committee adopted a compensatory program (the “Career Stock Program”) pursuant to which the Company may grant restricted stock units (“RSUs”) awards under the Bentley Systems, Incorporated 2020 Omnibus Incentive Plan (the “2020 Plan”). As of the date of adoption, Mr. Cumins is the sole participant in the Career Stock Program. Under the Career Stock Program, the Committee may from time to time grant RSU awards to program participants, the amount of which is to be determined based upon the Company’s Adjusted operating income inclusive of stock-based compensation expense (“Adjusted OI w/SBC”) growth in the year preceding the date of grant (the “Performance Year”), specifically, an amount equal to 10 percent of the difference between realized Adjusted OI w/SBC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 As of September 30, 2024, the Committee has not yet made any awards to Mr. Cumins with respect to the Career Stock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12: Retirement Plans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 (income) was $6,983 and $(3,160) for the three months ended September 30, 2024 and 2023, respectively, and $13,665 and $4,763 for the nine months ended September 30, 2024 and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elective participant deferrals into the Company’s unfunded amended and restated Bentley Systems, Incorporated Nonqualified Deferred Compensation Plan (the “DCP”) were $43 and $61, respectively, and $144 and $1,712 for the nine months ended September 30, 2024 and 2023, respectively. No discretionary contributions were made to the DCP during the three and nine months ended September 30, 2024 and 2023. As of September 30, 2024 and December 31, 2023, 12,764,635 and 17,364,980 phantom shares of the Company’s Class B common stock were distributable under the DCP, respectively. As of September 30, 2024, shares of Class B common stock available for future issuance under the DCP were 4,366,691.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liabilities related to the DCP is included in the consolidated balance sheets as follows:</w:t>
      </w:r>
    </w:p>
    <w:tbl>
      <w:tblPr>
        <w:tblW w:w="6744" w:type="dxa"/>
        <w:jc w:val="center"/>
        <w:tblInd w:w="0" w:type="dxa"/>
        <w:tblLayout w:type="fixed"/>
        <w:tblCellMar>
          <w:top w:w="28" w:type="dxa"/>
          <w:left w:w="28" w:type="dxa"/>
          <w:bottom w:w="28" w:type="dxa"/>
          <w:right w:w="28" w:type="dxa"/>
        </w:tblCellMar>
      </w:tblPr>
      <w:tblGrid>
        <w:gridCol w:w="1166"/>
        <w:gridCol w:w="1027"/>
        <w:gridCol w:w="1031"/>
        <w:gridCol w:w="295"/>
        <w:gridCol w:w="1156"/>
        <w:gridCol w:w="153"/>
        <w:gridCol w:w="109"/>
        <w:gridCol w:w="109"/>
        <w:gridCol w:w="109"/>
        <w:gridCol w:w="308"/>
        <w:gridCol w:w="1055"/>
        <w:gridCol w:w="226"/>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DCP liabilities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13: Common Stock</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BSY Stock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announced that its Board of Directors approved the BSY Stock Repurchase Program (the “Repurchase Program”) authorizing the Company to repurchase up to $200,000 of the Company’s Class B common stock through June 30, 2024. In December 2022, the Company’s Board of Directors amended the Repurchase Program to allow the Company also to repurchase its outstanding convertible senior notes. This additional authorization did not increase the overall dollar limit of the Repurchase Program. The Company’s authorization under the Repurchase Program approved May 2022 expired on June 30, 2024. In March 2024, the Company’s Board of Directors approved an extension to the Repurchase Program authorizing the Company to repurchase up to $200,000 of the Company’s Class B common stock and/or outstanding convertible senior notes from June 30, 2024 through June 30, 2026. As of September 30, 2024, $191,738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repurchased 912,737 shares for $45,769 under the Repurchase Program. The Company did not repurchase shares under the Repurchase Program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Common Stock Issuances, Sales, and Repurchases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issued 4,655,277 shares of Class B common stock to DCP participants in connection with distributions from the plan. There were no shares sold back to the Company as they were issued on a gross basis during the nine months ended September 30, 2024. During the nine months ended September 30, 2023, the Company issued 2,845,448 shares of Class B common stock to DCP participants in connection with distributions from the plan, net of 935,939 shares which were sold back to the Company in the same period to pay for applicable income tax withholdings of $38,456.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issued 256,587 shares of Class B common stock in connection with Bonus Plan incentive compensation. There were no shares sold back to the Company as they were issued on a gross basis during the nine months ended September 30, 2024. During the nine months ended September 30, 2023, the Company issued 171,510 shares of Class B common stock in connection with Bonus Plan incentive compensation, net of 135,314 shares were sold back to the Company in the same period to pay for applicable income tax withholdings of $5,756.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For the nine months ended September 30, 2023, the Company issued 2,422,082 shares of Class B common stock to colleagues who exercised their stock options, net of 234,472 shares withheld at exercise to pay for the cost of the stock options, as well as for $6,408 of applicable income tax withholdings. The Company received $10,590 in cash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cash dividends during the periods presented as follows:</w:t>
      </w:r>
    </w:p>
    <w:tbl>
      <w:tblPr>
        <w:tblW w:w="3602" w:type="dxa"/>
        <w:jc w:val="center"/>
        <w:tblInd w:w="0" w:type="dxa"/>
        <w:tblLayout w:type="fixed"/>
        <w:tblCellMar>
          <w:top w:w="28" w:type="dxa"/>
          <w:left w:w="28" w:type="dxa"/>
          <w:bottom w:w="28" w:type="dxa"/>
          <w:right w:w="28" w:type="dxa"/>
        </w:tblCellMar>
      </w:tblPr>
      <w:tblGrid>
        <w:gridCol w:w="483"/>
        <w:gridCol w:w="422"/>
        <w:gridCol w:w="429"/>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Global Employee Stock Purchase Plan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the nine months ended September 30, 2024, colleagues who elected to participate in the Bentley Systems, Incorporated Global Employee Stock Purchase Plan (the “ESPP”) purchased a total of 253,578 shares of Class B common stock, net of shares withheld, resulting in cash proceeds to the Company of $11,228. Of the total 260,437 shares purchased, 6,859 shares were sold back to the Company to pay for applicable income tax withholdings of $348. During the nine months ended September 30, 2023, colleagues who elected to participate in the ESPP purchased a total of 315,840 shares of Class B common stock, net of shares withheld, resulting in cash proceeds to the Company of $9,988. Of the total 333,324 shares purchased, 17,484 shares were sold back to the Company to pay for applicable income tax withholdings of $845. As of September 30, 2024 and December 31, 2023, $2,971 and $5,790 of ESPP withholdings via colleague payroll deduction were recorded in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respectively. As of September 30, 2024, shares of Class B common stock available for future issuance under the ESPP were 24,018,460.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three months ended September 30, 2024 and 2023:</w:t>
      </w:r>
    </w:p>
    <w:tbl>
      <w:tblPr>
        <w:tblW w:w="8315" w:type="dxa"/>
        <w:jc w:val="center"/>
        <w:tblInd w:w="0" w:type="dxa"/>
        <w:tblLayout w:type="fixed"/>
        <w:tblCellMar>
          <w:top w:w="28" w:type="dxa"/>
          <w:left w:w="28" w:type="dxa"/>
          <w:bottom w:w="28" w:type="dxa"/>
          <w:right w:w="28" w:type="dxa"/>
        </w:tblCellMar>
      </w:tblPr>
      <w:tblGrid>
        <w:gridCol w:w="1460"/>
        <w:gridCol w:w="1285"/>
        <w:gridCol w:w="1289"/>
        <w:gridCol w:w="211"/>
        <w:gridCol w:w="796"/>
        <w:gridCol w:w="109"/>
        <w:gridCol w:w="109"/>
        <w:gridCol w:w="109"/>
        <w:gridCol w:w="109"/>
        <w:gridCol w:w="331"/>
        <w:gridCol w:w="848"/>
        <w:gridCol w:w="171"/>
        <w:gridCol w:w="109"/>
        <w:gridCol w:w="109"/>
        <w:gridCol w:w="109"/>
        <w:gridCol w:w="211"/>
        <w:gridCol w:w="79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5" w:type="dxa"/>
        <w:jc w:val="center"/>
        <w:tblInd w:w="0" w:type="dxa"/>
        <w:tblLayout w:type="fixed"/>
        <w:tblCellMar>
          <w:top w:w="28" w:type="dxa"/>
          <w:left w:w="28" w:type="dxa"/>
          <w:bottom w:w="28" w:type="dxa"/>
          <w:right w:w="28" w:type="dxa"/>
        </w:tblCellMar>
      </w:tblPr>
      <w:tblGrid>
        <w:gridCol w:w="1460"/>
        <w:gridCol w:w="1285"/>
        <w:gridCol w:w="1289"/>
        <w:gridCol w:w="211"/>
        <w:gridCol w:w="796"/>
        <w:gridCol w:w="109"/>
        <w:gridCol w:w="109"/>
        <w:gridCol w:w="109"/>
        <w:gridCol w:w="109"/>
        <w:gridCol w:w="331"/>
        <w:gridCol w:w="848"/>
        <w:gridCol w:w="171"/>
        <w:gridCol w:w="109"/>
        <w:gridCol w:w="109"/>
        <w:gridCol w:w="109"/>
        <w:gridCol w:w="211"/>
        <w:gridCol w:w="79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nine months ended September 30, 2024 and 2023:</w:t>
      </w:r>
    </w:p>
    <w:tbl>
      <w:tblPr>
        <w:tblW w:w="7835" w:type="dxa"/>
        <w:jc w:val="center"/>
        <w:tblInd w:w="0" w:type="dxa"/>
        <w:tblLayout w:type="fixed"/>
        <w:tblCellMar>
          <w:top w:w="28" w:type="dxa"/>
          <w:left w:w="28" w:type="dxa"/>
          <w:bottom w:w="28" w:type="dxa"/>
          <w:right w:w="28" w:type="dxa"/>
        </w:tblCellMar>
      </w:tblPr>
      <w:tblGrid>
        <w:gridCol w:w="1287"/>
        <w:gridCol w:w="1131"/>
        <w:gridCol w:w="1136"/>
        <w:gridCol w:w="211"/>
        <w:gridCol w:w="796"/>
        <w:gridCol w:w="109"/>
        <w:gridCol w:w="109"/>
        <w:gridCol w:w="109"/>
        <w:gridCol w:w="109"/>
        <w:gridCol w:w="331"/>
        <w:gridCol w:w="848"/>
        <w:gridCol w:w="171"/>
        <w:gridCol w:w="109"/>
        <w:gridCol w:w="109"/>
        <w:gridCol w:w="109"/>
        <w:gridCol w:w="211"/>
        <w:gridCol w:w="79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5" w:type="dxa"/>
        <w:jc w:val="center"/>
        <w:tblInd w:w="0" w:type="dxa"/>
        <w:tblLayout w:type="fixed"/>
        <w:tblCellMar>
          <w:top w:w="28" w:type="dxa"/>
          <w:left w:w="28" w:type="dxa"/>
          <w:bottom w:w="28" w:type="dxa"/>
          <w:right w:w="28" w:type="dxa"/>
        </w:tblCellMar>
      </w:tblPr>
      <w:tblGrid>
        <w:gridCol w:w="1461"/>
        <w:gridCol w:w="1284"/>
        <w:gridCol w:w="1289"/>
        <w:gridCol w:w="211"/>
        <w:gridCol w:w="796"/>
        <w:gridCol w:w="109"/>
        <w:gridCol w:w="109"/>
        <w:gridCol w:w="109"/>
        <w:gridCol w:w="109"/>
        <w:gridCol w:w="331"/>
        <w:gridCol w:w="848"/>
        <w:gridCol w:w="171"/>
        <w:gridCol w:w="109"/>
        <w:gridCol w:w="109"/>
        <w:gridCol w:w="109"/>
        <w:gridCol w:w="211"/>
        <w:gridCol w:w="79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consists of the following:</w:t>
      </w:r>
    </w:p>
    <w:tbl>
      <w:tblPr>
        <w:tblW w:w="10079" w:type="dxa"/>
        <w:jc w:val="center"/>
        <w:tblInd w:w="0" w:type="dxa"/>
        <w:tblLayout w:type="fixed"/>
        <w:tblCellMar>
          <w:top w:w="28" w:type="dxa"/>
          <w:left w:w="28" w:type="dxa"/>
          <w:bottom w:w="28" w:type="dxa"/>
          <w:right w:w="28" w:type="dxa"/>
        </w:tblCellMar>
      </w:tblPr>
      <w:tblGrid>
        <w:gridCol w:w="1768"/>
        <w:gridCol w:w="1557"/>
        <w:gridCol w:w="15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DCP elective participant deferrals expense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stock-based compensation expense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(1)DCP elective participant deferrals expense excludes deferred incentive bonus payable pursuant to the Bonus Plan.</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 xml:space="preserve">(2)As of September 30, 2024 and December 31, 2023, $1,878 and $4,043 remained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September 30, 2024, equity awards available for future grants under the 2020 Plan were 20,112,700.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Restricted Stock and RSUs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plans,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annualized recurring revenues (“ARR”), as well as actual bookings for perpetual licenses and non</w:t>
        <w:noBreakHyphen/>
        <w:t>recurring services. Performance targets are generally set for performance periods of one year to three years.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unvested restricted stock and RSU activity and related information under the Company’s applicable equity incentive plans:</w:t>
      </w:r>
    </w:p>
    <w:tbl>
      <w:tblPr>
        <w:tblW w:w="9792" w:type="dxa"/>
        <w:jc w:val="center"/>
        <w:tblInd w:w="0" w:type="dxa"/>
        <w:tblLayout w:type="fixed"/>
        <w:tblCellMar>
          <w:top w:w="28" w:type="dxa"/>
          <w:left w:w="28" w:type="dxa"/>
          <w:bottom w:w="28" w:type="dxa"/>
          <w:right w:w="28" w:type="dxa"/>
        </w:tblCellMar>
      </w:tblPr>
      <w:tblGrid>
        <w:gridCol w:w="939"/>
        <w:gridCol w:w="825"/>
        <w:gridCol w:w="830"/>
        <w:gridCol w:w="488"/>
        <w:gridCol w:w="488"/>
        <w:gridCol w:w="283"/>
        <w:gridCol w:w="109"/>
        <w:gridCol w:w="109"/>
        <w:gridCol w:w="109"/>
        <w:gridCol w:w="488"/>
        <w:gridCol w:w="488"/>
        <w:gridCol w:w="285"/>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3,303,849 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2,938,208 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365,641 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1,191,104 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984,192 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(968,364)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(786,574)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(266,736)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(228,703)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September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3,259,853 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2,907,123 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352,730 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the nine months ended September 30, 2024, the Company only granted RSUs.</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(2)Includes 35,093 RSUs which are expected to be settled in cash.</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(3)</w:t>
      </w:r>
      <w:r>
        <w:rPr>
          <w:rFonts w:ascii="Times New Roman;sans-serif" w:hAnsi="Times New Roman;sans-serif"/>
          <w:b w:val="false"/>
          <w:color w:val="000000"/>
          <w:sz w:val="18"/>
        </w:rPr>
        <w:t>Includes 199,076 time</w:t>
        <w:noBreakHyphen/>
        <w:t>based RSUs granted during the three months ended March 31, 2022 to certain officers and key employees, which cliff vest on January 31, 2025.</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(5)</w:t>
      </w:r>
      <w:r>
        <w:rPr>
          <w:rFonts w:ascii="Times New Roman;sans-serif" w:hAnsi="Times New Roman;sans-serif"/>
          <w:b w:val="false"/>
          <w:color w:val="000000"/>
          <w:sz w:val="18"/>
        </w:rPr>
        <w:t>Primarily relates to the 2023 annual performance period. Includes 185,186 performance</w:t>
        <w:noBreakHyphen/>
        <w:t>based RSUs granted during the year ended December 31, 2022 with extraordinary terms, which are described below.</w:t>
      </w:r>
    </w:p>
    <w:p>
      <w:pPr>
        <w:pStyle w:val="TextBody"/>
        <w:bidi w:val="0"/>
        <w:spacing w:lineRule="auto" w:line="288" w:before="0" w:after="200"/>
        <w:ind w:left="0" w:right="0" w:hanging="360"/>
        <w:jc w:val="both"/>
        <w:rPr/>
      </w:pPr>
      <w:r>
        <w:rPr>
          <w:rFonts w:ascii="Times New Roman;sans-serif" w:hAnsi="Times New Roman;sans-serif"/>
          <w:b w:val="false"/>
          <w:color w:val="231F20"/>
          <w:sz w:val="18"/>
        </w:rPr>
        <w:t>(6)</w:t>
      </w:r>
      <w:r>
        <w:rPr>
          <w:rFonts w:ascii="Times New Roman;sans-serif" w:hAnsi="Times New Roman;sans-serif"/>
          <w:b w:val="false"/>
          <w:color w:val="000000"/>
          <w:sz w:val="18"/>
        </w:rPr>
        <w:t>Primarily relates to the 2024 annual performance period. Includes 1,335 additional shares earned based on the achievement of 2023 performance goals for performance-based RSUs granted during the year ended December 31,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will be subject to a cliff, whereby no vesting of that portion will occur unless the Company’s applicable margin metrics (which, for 2022 was Adjusted EBITDA margin, and for 2023 was and 2024 will be Adjusted OI w/SBC margin, excluding the impact of foreign currency exchange fluctuations) also equals or exceeds the relevant target level for such year. Provided that the applicable margin targets are met, the total number of performance</w:t>
        <w:noBreakHyphen/>
        <w:t>based RSUs that will vest is determined by the achievement of growth targets, which include growth in ARR, as well as actual bookings for perpetual licenses and non</w:t>
        <w:noBreakHyphen/>
        <w:t>recurring services. Final actual vesting will be determined on January 31, 2025. The 2023 Adjusted OI w/SBC margin target, excluding the impact of foreign currency exchange fluctuations, and the 2022 Adjusted EBITDA margin target for the performance</w:t>
        <w:noBreakHyphen/>
        <w:t>based RSUs were met.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values of RSUs granted were $50.66 and $40.82, for the nine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restricted stock and RSUs were issued net of 171,314 and 137,675 shares, respectively, which were sold back to the Company to settle applicable income tax withholdings of $8,671 and $6,062,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$86,995 of unrecognized compensation expense related to unvested time</w:t>
        <w:noBreakHyphen/>
        <w:t>based restricted stock and RSUs, which is expected to be recognized over a weighted average period of approximately 1.9 years. As of September 30, 2024, there was $5,141 of unrecognized compensation expense related to unvested performance</w:t>
        <w:noBreakHyphen/>
        <w:t>based RSUs, which is expected to be recognized over a weighted average period of approximately 1.0 year.</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stock option activity and related information under the Company’s applicable equity incentive plans:</w:t>
      </w:r>
    </w:p>
    <w:tbl>
      <w:tblPr>
        <w:tblW w:w="5939" w:type="dxa"/>
        <w:jc w:val="center"/>
        <w:tblInd w:w="0" w:type="dxa"/>
        <w:tblLayout w:type="fixed"/>
        <w:tblCellMar>
          <w:top w:w="28" w:type="dxa"/>
          <w:left w:w="28" w:type="dxa"/>
          <w:bottom w:w="28" w:type="dxa"/>
          <w:right w:w="28" w:type="dxa"/>
        </w:tblCellMar>
      </w:tblPr>
      <w:tblGrid>
        <w:gridCol w:w="1026"/>
        <w:gridCol w:w="903"/>
        <w:gridCol w:w="905"/>
        <w:gridCol w:w="449"/>
        <w:gridCol w:w="451"/>
        <w:gridCol w:w="243"/>
        <w:gridCol w:w="109"/>
        <w:gridCol w:w="109"/>
        <w:gridCol w:w="109"/>
        <w:gridCol w:w="292"/>
        <w:gridCol w:w="710"/>
        <w:gridCol w:w="152"/>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916,429 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(911,429)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2024</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the Company received cash proceeds of $4,007 and $10,590, respectively, related to the exercise of stock options. The total intrinsic value of stock options exercised for the nine months ended September 30, 2024 and 2023 was $40,775 and $102,667,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no remaining unrecognized compensation expense related to unvested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 Grants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the Company granted 11,391 and 12,639 fully vested shares of Class B common stock, respectively, with a fair value of $600.</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Equity Awards Subsequent to September 30,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granted 265,233 time</w:t>
        <w:noBreakHyphen/>
        <w:t>based RSUs, which generally vest ratably on each of the first four anniversaries of the grant date. The unrecognized compensation expense related to these RSUs is approximately $13,200, which is expected to be recognized over a weighted average period of approximately 4.0 years.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an acquisition, in order to promote key colleague retention, in October 2024, the Company granted 205,592 time</w:t>
        <w:noBreakHyphen/>
        <w:t>based RSUs, which vest ratably on each of the first three anniversaries of the closing date of the acquisition. The unrecognized compensation expense related to these RSUs is approximately $10,200, which is expected to be recognized over a 2.8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following is a summary of</w:t>
      </w:r>
      <w:r>
        <w:rPr>
          <w:color w:val="000000"/>
        </w:rPr>
        <w:t xml:space="preserve"> </w:t>
      </w:r>
      <w:r>
        <w:rPr>
          <w:rFonts w:ascii="Times New Roman;sans-serif" w:hAnsi="Times New Roman;sans-serif"/>
          <w:b w:val="false"/>
          <w:i/>
          <w:color w:val="000000"/>
          <w:sz w:val="20"/>
        </w:rPr>
        <w:t>Income before income taxes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and effective tax rate for the periods presented:</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the effective tax rate was higher compared to the same period in the prior year primarily due to the impact of the decrease in discrete tax benefits recognized in the current year period. For the three months ended September 30, 2024, the Company recorded discrete tax expenses of $2,887. For the three months ended September 30, 2023, the Company recorded discrete tax benefits of $4,428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effective tax rate was higher compared to the same period in the prior year primarily due to the impact of the decrease in discrete tax benefits recognized in the current year period. For the nine months ended September 30, 2024 and 2023, the Company recorded discrete tax benefits of $17,794 and $31,895,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17: Fair Value of Financial Instruments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ans-serif" w:hAnsi="Times New Roman;sans-serif"/>
          <w:b/>
          <w:i/>
          <w:color w:val="000000"/>
          <w:sz w:val="20"/>
        </w:rPr>
        <w:t>Current Assets and Current Liabilities</w:t>
      </w:r>
      <w:r>
        <w:rPr>
          <w:color w:val="000000"/>
        </w:rPr>
        <w:t xml:space="preserve"> — </w:t>
      </w:r>
      <w:r>
        <w:rPr>
          <w:rFonts w:ascii="Times New Roman;sans-serif" w:hAnsi="Times New Roman;sans-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measurements for Level 2 financial instruments as of September 30, 2024 and December 31, 2023:</w:t>
      </w:r>
    </w:p>
    <w:p>
      <w:pPr>
        <w:pStyle w:val="TextBody"/>
        <w:bidi w:val="0"/>
        <w:spacing w:lineRule="auto" w:line="288" w:before="0" w:after="200"/>
        <w:ind w:left="0" w:right="0" w:firstLine="360"/>
        <w:jc w:val="both"/>
        <w:rPr/>
      </w:pPr>
      <w:r>
        <w:rPr>
          <w:rFonts w:ascii="Times New Roman;sans-serif" w:hAnsi="Times New Roman;sans-serif"/>
          <w:b/>
          <w:i/>
          <w:color w:val="000000"/>
          <w:sz w:val="20"/>
        </w:rPr>
        <w:t>Interest Rate Swap</w:t>
      </w:r>
      <w:r>
        <w:rPr>
          <w:color w:val="000000"/>
        </w:rPr>
        <w:t xml:space="preserve"> — </w:t>
      </w:r>
      <w:r>
        <w:rPr>
          <w:rFonts w:ascii="Times New Roman;sans-serif" w:hAnsi="Times New Roman;sans-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i/>
          <w:color w:val="000000"/>
          <w:sz w:val="20"/>
        </w:rPr>
        <w:t>Long-Term Debt</w:t>
      </w:r>
      <w:r>
        <w:rPr>
          <w:color w:val="000000"/>
        </w:rPr>
        <w:t xml:space="preserve"> — </w:t>
      </w:r>
      <w:r>
        <w:rPr>
          <w:rFonts w:ascii="Times New Roman;sans-serif" w:hAnsi="Times New Roman;sans-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September 30, 2024, the estimated fair value of the 2026 Notes and 2027 Notes was $688,222 and $530,955, respectively. As of December 31, 2023, the estimated fair value of the 2026 Notes and 2027 Notes was $684,205 and $516,051,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ans-serif" w:hAnsi="Times New Roman;sans-serif"/>
          <w:b/>
          <w:i/>
          <w:color w:val="000000"/>
          <w:sz w:val="20"/>
        </w:rPr>
        <w:t>Deferred Compensation Plan Liabilities</w:t>
      </w:r>
      <w:r>
        <w:rPr>
          <w:color w:val="000000"/>
        </w:rPr>
        <w:t xml:space="preserve"> — </w:t>
      </w:r>
      <w:r>
        <w:rPr>
          <w:rFonts w:ascii="Times New Roman;sans-serif" w:hAnsi="Times New Roman;sans-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carried at fair value measured on a recurring basis consist of the following:</w:t>
      </w:r>
    </w:p>
    <w:tbl>
      <w:tblPr>
        <w:tblW w:w="7684" w:type="dxa"/>
        <w:jc w:val="center"/>
        <w:tblInd w:w="0" w:type="dxa"/>
        <w:tblLayout w:type="fixed"/>
        <w:tblCellMar>
          <w:top w:w="28" w:type="dxa"/>
          <w:left w:w="28" w:type="dxa"/>
          <w:bottom w:w="28" w:type="dxa"/>
          <w:right w:w="28" w:type="dxa"/>
        </w:tblCellMar>
      </w:tblPr>
      <w:tblGrid>
        <w:gridCol w:w="1243"/>
        <w:gridCol w:w="1092"/>
        <w:gridCol w:w="109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5" w:type="dxa"/>
        <w:jc w:val="center"/>
        <w:tblInd w:w="0" w:type="dxa"/>
        <w:tblLayout w:type="fixed"/>
        <w:tblCellMar>
          <w:top w:w="28" w:type="dxa"/>
          <w:left w:w="28" w:type="dxa"/>
          <w:bottom w:w="28" w:type="dxa"/>
          <w:right w:w="28" w:type="dxa"/>
        </w:tblCellMar>
      </w:tblPr>
      <w:tblGrid>
        <w:gridCol w:w="1245"/>
        <w:gridCol w:w="1092"/>
        <w:gridCol w:w="1098"/>
        <w:gridCol w:w="211"/>
        <w:gridCol w:w="721"/>
        <w:gridCol w:w="109"/>
        <w:gridCol w:w="109"/>
        <w:gridCol w:w="109"/>
        <w:gridCol w:w="109"/>
        <w:gridCol w:w="211"/>
        <w:gridCol w:w="721"/>
        <w:gridCol w:w="109"/>
        <w:gridCol w:w="109"/>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Cash and cash equivalents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Other assets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(3)Included in </w:t>
      </w:r>
      <w:r>
        <w:rPr>
          <w:rFonts w:ascii="Times New Roman;sans-serif" w:hAnsi="Times New Roman;sans-serif"/>
          <w:b w:val="false"/>
          <w:i/>
          <w:color w:val="000000"/>
          <w:sz w:val="18"/>
        </w:rPr>
        <w:t>Deferred compensation plan liabilities</w:t>
      </w:r>
      <w:r>
        <w:rPr>
          <w:rFonts w:ascii="Times New Roman;sans-serif" w:hAnsi="Times New Roman;sans-serif"/>
          <w:b w:val="false"/>
          <w:color w:val="000000"/>
          <w:sz w:val="18"/>
        </w:rPr>
        <w:t xml:space="preserve">, except for current liabilities of $3,833 and $2,355 as of September 30, 2024 and December 31, 2023, respectively, which are 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 xml:space="preserve">(4)Included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for goods and services. During the nine months ended September 30, 2024, the Company entered into approximately $44,900 of non</w:t>
        <w:noBreakHyphen/>
        <w:t>cancelable future cash purchase commitments for services related to cloud provisioning of the Company’s software solutions and for internal</w:t>
        <w:noBreakHyphen/>
        <w:t>use software costs. During the year ended December 31, 2023, the Company entered into approximately $158,000 of non</w:t>
        <w:noBreakHyphen/>
        <w:t>cancelable future cash purchase commitments for services related to cloud provisioning of the Company’s software solutions and for internal</w:t>
        <w:noBreakHyphen/>
        <w:t>use software costs. As of September 30, 2024, total non</w:t>
        <w:noBreakHyphen/>
        <w:t>cancelable future cash purchase commitments were approximately $128,000 to be paid through September 2029. The Company expects to fully consume its contractual commitments in the ordinary course of operations.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19: Geographic Data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484" w:type="dxa"/>
        <w:jc w:val="center"/>
        <w:tblInd w:w="0" w:type="dxa"/>
        <w:tblLayout w:type="fixed"/>
        <w:tblCellMar>
          <w:top w:w="28" w:type="dxa"/>
          <w:left w:w="28" w:type="dxa"/>
          <w:bottom w:w="28" w:type="dxa"/>
          <w:right w:w="28" w:type="dxa"/>
        </w:tblCellMar>
      </w:tblPr>
      <w:tblGrid>
        <w:gridCol w:w="710"/>
        <w:gridCol w:w="624"/>
        <w:gridCol w:w="630"/>
        <w:gridCol w:w="295"/>
        <w:gridCol w:w="1156"/>
        <w:gridCol w:w="153"/>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Americas</w:t>
            </w:r>
            <w:r>
              <w:rPr>
                <w:color w:val="000000"/>
              </w:rPr>
              <w:t xml:space="preserve"> </w:t>
            </w:r>
            <w:r>
              <w:rPr>
                <w:rFonts w:ascii="Times New Roman;sans-serif" w:hAnsi="Times New Roman;sans-serif"/>
                <w:b w:val="false"/>
                <w:color w:val="000000"/>
                <w:sz w:val="13"/>
              </w:rPr>
              <w:t>(1)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296,746 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20: Other (Expense) Income,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consists of the following:</w:t>
      </w:r>
    </w:p>
    <w:tbl>
      <w:tblPr>
        <w:tblW w:w="9449" w:type="dxa"/>
        <w:jc w:val="center"/>
        <w:tblInd w:w="0" w:type="dxa"/>
        <w:tblLayout w:type="fixed"/>
        <w:tblCellMar>
          <w:top w:w="28" w:type="dxa"/>
          <w:left w:w="28" w:type="dxa"/>
          <w:bottom w:w="28" w:type="dxa"/>
          <w:right w:w="28" w:type="dxa"/>
        </w:tblCellMar>
      </w:tblPr>
      <w:tblGrid>
        <w:gridCol w:w="1640"/>
        <w:gridCol w:w="1440"/>
        <w:gridCol w:w="1449"/>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$1,561 and $(1,574) for the three months ended September 30, 2024 and 2023, respectively, and $1,130 and $684 for the nine months ended September 30, 2024 and 2023, respectively.</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charges of $(7,318) for the nine months ended September 30, 2023, partially offset by gains on investments of $2,360 recorded during the three months ended September 30, 2023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21: Realignment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approved a strategic realignment program to better serve the Company’s accounts and to better align resources with the strategy of the business, including reinvestment in go-to-market functions, as well as in artificial intelligence product development (the “2023 Program”). The Company incurred realignment costs of $12,579 for the year ended December 31, 2023 related to the aforementioned program, which represents termination benefits for colleagues whose roles were impacted. During the three and nine months ended September 30, 2024, the Company incurred realignment costs of $9 and $876, respectively, related to the aforementioned program. The 2023 Program activities have been broadly implemented across the Company’s various businesses, which were substantially completed by the end of the second quarter of 2024. The Company expects the remaining termination benefits to be paid by the end of the fourth quarter of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Realignment costs (income) by expense classification were as follows:</w:t>
      </w:r>
    </w:p>
    <w:tbl>
      <w:tblPr>
        <w:tblW w:w="6656" w:type="dxa"/>
        <w:jc w:val="left"/>
        <w:tblInd w:w="0" w:type="dxa"/>
        <w:tblLayout w:type="fixed"/>
        <w:tblCellMar>
          <w:top w:w="28" w:type="dxa"/>
          <w:left w:w="28" w:type="dxa"/>
          <w:bottom w:w="28" w:type="dxa"/>
          <w:right w:w="28" w:type="dxa"/>
        </w:tblCellMar>
      </w:tblPr>
      <w:tblGrid>
        <w:gridCol w:w="1036"/>
        <w:gridCol w:w="912"/>
        <w:gridCol w:w="916"/>
        <w:gridCol w:w="510"/>
        <w:gridCol w:w="982"/>
        <w:gridCol w:w="263"/>
        <w:gridCol w:w="109"/>
        <w:gridCol w:w="109"/>
        <w:gridCol w:w="109"/>
        <w:gridCol w:w="368"/>
        <w:gridCol w:w="1074"/>
        <w:gridCol w:w="268"/>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realignment costs</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included amounts related to the realignment activities as follows:</w:t>
      </w:r>
    </w:p>
    <w:tbl>
      <w:tblPr>
        <w:tblW w:w="3576" w:type="dxa"/>
        <w:jc w:val="center"/>
        <w:tblInd w:w="0" w:type="dxa"/>
        <w:tblLayout w:type="fixed"/>
        <w:tblCellMar>
          <w:top w:w="28" w:type="dxa"/>
          <w:left w:w="28" w:type="dxa"/>
          <w:bottom w:w="28" w:type="dxa"/>
          <w:right w:w="28" w:type="dxa"/>
        </w:tblCellMar>
      </w:tblPr>
      <w:tblGrid>
        <w:gridCol w:w="902"/>
        <w:gridCol w:w="792"/>
        <w:gridCol w:w="796"/>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Realignment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(1)Adjustments include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22: Net Income Per Share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September 30, 2024 and 2023, there were 352,730 and 364,753 participating securities outstanding,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pStyle w:val="TextBody"/>
        <w:bidi w:val="0"/>
        <w:spacing w:lineRule="auto" w:line="288" w:before="0" w:after="200"/>
        <w:ind w:left="0" w:right="0" w:firstLine="360"/>
        <w:jc w:val="both"/>
        <w:rPr/>
      </w:pPr>
      <w:r>
        <w:rPr>
          <w:rFonts w:ascii="Times New Roman;sans-serif" w:hAnsi="Times New Roman;sans-serif"/>
          <w:b w:val="false"/>
          <w:color w:val="212529"/>
          <w:sz w:val="20"/>
        </w:rPr>
        <w:t xml:space="preserve">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numerator, interest expense, net of tax, attributable to the assumed conversion of the</w:t>
      </w:r>
      <w:r>
        <w:rPr>
          <w:color w:val="000000"/>
        </w:rPr>
        <w:t xml:space="preserve"> </w:t>
      </w:r>
      <w:r>
        <w:rPr>
          <w:rFonts w:ascii="Times New Roman;sans-serif" w:hAnsi="Times New Roman;sans-serif"/>
          <w:b w:val="false"/>
          <w:color w:val="000000"/>
          <w:sz w:val="20"/>
        </w:rPr>
        <w:t>convertible senior notes</w:t>
      </w:r>
      <w:r>
        <w:rPr>
          <w:color w:val="212529"/>
        </w:rPr>
        <w:t xml:space="preserve"> </w:t>
      </w:r>
      <w:r>
        <w:rPr>
          <w:rFonts w:ascii="Times New Roman;sans-serif" w:hAnsi="Times New Roman;sans-serif"/>
          <w:b w:val="false"/>
          <w:color w:val="212529"/>
          <w:sz w:val="20"/>
        </w:rPr>
        <w:t xml:space="preserve">is added back to basic net income attributable to common stockholders. 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denominator, the basic weighted average number of shares is adjusted for the effect of dilutive securities, including awards under the Company’s equity compensation plans and ESPP, and for the dilutive </w:t>
      </w:r>
      <w:r>
        <w:rPr>
          <w:rFonts w:ascii="Times New Roman;sans-serif" w:hAnsi="Times New Roman;sans-serif"/>
          <w:b w:val="false"/>
          <w:color w:val="000000"/>
          <w:sz w:val="20"/>
        </w:rPr>
        <w:t xml:space="preserve">effect of the assumed conversion of the convertible senior notes. </w:t>
      </w:r>
      <w:r>
        <w:rPr>
          <w:rFonts w:ascii="Times New Roman;sans-serif" w:hAnsi="Times New Roman;sans-serif"/>
          <w:b w:val="false"/>
          <w:color w:val="212529"/>
          <w:sz w:val="20"/>
        </w:rPr>
        <w:t>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attributable to common stockholders is computed by dividing diluted net </w:t>
      </w:r>
      <w:r>
        <w:rPr>
          <w:rFonts w:ascii="Times New Roman;sans-serif" w:hAnsi="Times New Roman;sans-serif"/>
          <w:b w:val="false"/>
          <w:color w:val="000000"/>
          <w:sz w:val="20"/>
        </w:rPr>
        <w:t>income</w:t>
      </w:r>
      <w:r>
        <w:rPr>
          <w:color w:val="212529"/>
        </w:rPr>
        <w:t xml:space="preserve"> </w:t>
      </w:r>
      <w:r>
        <w:rPr>
          <w:rFonts w:ascii="Times New Roman;sans-serif" w:hAnsi="Times New Roman;sans-serif"/>
          <w:b w:val="false"/>
          <w:color w:val="212529"/>
          <w:sz w:val="20"/>
        </w:rPr>
        <w:t>attributable to common stockholders by the weighted average number of fully diluted common shares.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noBreakHyphen/>
        <w:t>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details of basic and diluted net income per share are as follows</w:t>
      </w:r>
      <w:r>
        <w:rPr>
          <w:rFonts w:ascii="Times New Roman;sans-serif" w:hAnsi="Times New Roman;sans-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409"/>
        <w:gridCol w:w="1129"/>
        <w:gridCol w:w="1132"/>
        <w:gridCol w:w="109"/>
        <w:gridCol w:w="109"/>
        <w:gridCol w:w="109"/>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56"/>
      </w:tblGrid>
      <w:tr>
        <w:trPr/>
        <w:tc>
          <w:tcPr>
            <w:tcW w:w="14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315,207,216 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313,069,132 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314,820,679 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311,915,808 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2,534,773 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332,825,186 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332,144,893 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anti-dilutive securities for the three or nine months ended September 30,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2023 Annual Report on Form 10</w:t>
        <w:noBreakHyphen/>
        <w:t>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Bentley Systems is the </w:t>
      </w:r>
      <w:r>
        <w:rPr>
          <w:rFonts w:ascii="Times New Roman;sans-serif" w:hAnsi="Times New Roman;sans-serif"/>
          <w:b w:val="false"/>
          <w:i/>
          <w:color w:val="000000"/>
          <w:sz w:val="20"/>
        </w:rPr>
        <w:t>infrastructure engineering software</w:t>
      </w:r>
      <w:r>
        <w:rPr>
          <w:color w:val="000000"/>
        </w:rPr>
        <w:t xml:space="preserve"> </w:t>
      </w:r>
      <w:r>
        <w:rPr>
          <w:rFonts w:ascii="Times New Roman;sans-serif" w:hAnsi="Times New Roman;sans-serif"/>
          <w:b w:val="false"/>
          <w:color w:val="000000"/>
          <w:sz w:val="20"/>
        </w:rPr>
        <w:t>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Total revenues were $335,173 for the three months ended September 30, 2024, up 9.3% or 9.1%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September 30, 2023. Total revenues were $1,003,273 for the nine months ended September 30, 2024, up 9.3% or 9.3%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nine months ended September 30, 2023;</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Subscriptions revenues were $303,239 for the three months ended September 30, 2024, up 12.0% or 11.8%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September 30, 2023. Subscriptions revenues were $907,772 for the nine months ended September 30, 2024, up 12.4% or 12.4%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nine months ended September 30, 2023;</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ARR</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$1,270,726 as of September 30, 2024, compared to $1,124,774 as of September 30, 2023, representing a constant currency</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ARR growth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12%;</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Last twelve-month recurring revenues dollar-based net retention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109% as of September 30, 2024, compared to 110% as of September 30, 2023;</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Operating income was $68,630 for the three months ended September 30, 2024, compared to $73,679 for the three months ended September 30, 2023. Operating income was $240,738 for the nine months ended September 30, 2024, compared to $192,769 for the nine months ended September 30, 2023;</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Adjusted OI w/SBC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$89,524 for the three months ended September 30, 2024, compared to $86,327 for the three months ended September 30, 2023. Adjusted OI w/SBC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$297,162 for the nine months ended September 30, 2024, compared to $250,048 for the nine months ended September 30, 2023; and</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Cash flows from operations were $353,660 for the nine months ended September 30, 2024, compared to $329,643 for the nine months ended September 30,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and Adjusted OI w/SBC are non</w:t>
        <w:noBreakHyphen/>
        <w:t>GAAP financial measures. Refer to the “Non</w:t>
        <w:noBreakHyphen/>
        <w:t>GAAP Financial Measures” section for additional information, including our definitions and our uses of constant currency and Adjusted OI w/SBC.</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Impact of Foreign Currency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Revenues</w:t>
      </w:r>
    </w:p>
    <w:tbl>
      <w:tblPr>
        <w:tblW w:w="10976" w:type="dxa"/>
        <w:jc w:val="center"/>
        <w:tblInd w:w="0" w:type="dxa"/>
        <w:tblLayout w:type="fixed"/>
        <w:tblCellMar>
          <w:top w:w="28" w:type="dxa"/>
          <w:left w:w="28" w:type="dxa"/>
          <w:bottom w:w="28" w:type="dxa"/>
          <w:right w:w="28" w:type="dxa"/>
        </w:tblCellMar>
      </w:tblPr>
      <w:tblGrid>
        <w:gridCol w:w="381"/>
        <w:gridCol w:w="334"/>
        <w:gridCol w:w="336"/>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349"/>
        <w:gridCol w:w="109"/>
        <w:gridCol w:w="109"/>
        <w:gridCol w:w="109"/>
        <w:gridCol w:w="196"/>
        <w:gridCol w:w="871"/>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40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Subscriptions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Perpetual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Subscriptions and licenses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for the three and nine months ended September 30, 2024 was driven by an increase in subscriptions revenues, partially offset by decreases in services revenues and perpetual licenses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Subscriptions</w:t>
      </w:r>
      <w:r>
        <w:rPr>
          <w:rFonts w:ascii="Times New Roman;sans-serif" w:hAnsi="Times New Roman;sans-serif"/>
          <w:b w:val="false"/>
          <w:color w:val="000000"/>
          <w:sz w:val="20"/>
        </w:rPr>
        <w:t>. For the three and nine months ended September 30, 2024, the increase in subscriptions revenues was driven by improvements in our business performance of $32,488 ($31,957 on a constant currency basis) and $99,933 ($100,191 on a constant currency basis), respectively. Our business performance excludes the impact of our platform acquisitions and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For the three and nine months ended September 30, 2024, the improvements in business performance were primarily driven by expansion from accounts with revenues in the same period in the prior year (“existing accounts”), and growth of 3% attributable to new accounts, most notably small- and medium-sized accounts. Improvements in business performance for the three and nine months ended September 30, 2024 were led by our engineering</w:t>
      </w:r>
      <w:r>
        <w:rPr>
          <w:color w:val="000000"/>
        </w:rPr>
        <w:t xml:space="preserve"> </w:t>
      </w:r>
      <w:r>
        <w:rPr>
          <w:rFonts w:ascii="Times New Roman;sans-serif" w:hAnsi="Times New Roman;sans-serif"/>
          <w:b w:val="false"/>
          <w:color w:val="000000"/>
          <w:sz w:val="20"/>
        </w:rPr>
        <w:t>applications, geoprofessional</w:t>
      </w:r>
      <w:r>
        <w:rPr>
          <w:color w:val="000000"/>
        </w:rPr>
        <w:t xml:space="preserve"> </w:t>
      </w:r>
      <w:r>
        <w:rPr>
          <w:rFonts w:ascii="Times New Roman;sans-serif" w:hAnsi="Times New Roman;sans-serif"/>
          <w:b w:val="false"/>
          <w:color w:val="000000"/>
          <w:sz w:val="20"/>
        </w:rPr>
        <w:t xml:space="preserve">applications, and our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for project delivery.</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Perpetual licenses</w:t>
      </w:r>
      <w:r>
        <w:rPr>
          <w:rFonts w:ascii="Times New Roman;sans-serif" w:hAnsi="Times New Roman;sans-serif"/>
          <w:b w:val="false"/>
          <w:color w:val="000000"/>
          <w:sz w:val="20"/>
        </w:rPr>
        <w:t>. For the three and nine months ended September 30, 2024, the decrease in perpetual licenses revenues was driven by a decline in business performance of $613 ($634 on a constant currency basis) and $1,503 ($1,276 on a constant currency basis), respectively.</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Services.</w:t>
      </w:r>
      <w:r>
        <w:rPr>
          <w:color w:val="000000"/>
        </w:rPr>
        <w:t xml:space="preserve"> </w:t>
      </w:r>
      <w:r>
        <w:rPr>
          <w:rFonts w:ascii="Times New Roman;sans-serif" w:hAnsi="Times New Roman;sans-serif"/>
          <w:b w:val="false"/>
          <w:color w:val="000000"/>
          <w:sz w:val="20"/>
        </w:rPr>
        <w:t>For the three and nine months ended September 30, 2024, the decrease in services revenues was driven by a decline in our business performance of $3,314 ($3,546 on a constant currency basis) and $12,929 ($13,291 on a constant currency basis), respectively, driven primarily from weakness in Maximo-related work within our digital integrator, Cohesive.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by Geographic Region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w:t>
      </w:r>
    </w:p>
    <w:tbl>
      <w:tblPr>
        <w:tblW w:w="10361" w:type="dxa"/>
        <w:jc w:val="center"/>
        <w:tblInd w:w="0" w:type="dxa"/>
        <w:tblLayout w:type="fixed"/>
        <w:tblCellMar>
          <w:top w:w="28" w:type="dxa"/>
          <w:left w:w="28" w:type="dxa"/>
          <w:bottom w:w="28" w:type="dxa"/>
          <w:right w:w="28" w:type="dxa"/>
        </w:tblCellMar>
      </w:tblPr>
      <w:tblGrid>
        <w:gridCol w:w="277"/>
        <w:gridCol w:w="244"/>
        <w:gridCol w:w="245"/>
        <w:gridCol w:w="196"/>
        <w:gridCol w:w="736"/>
        <w:gridCol w:w="109"/>
        <w:gridCol w:w="109"/>
        <w:gridCol w:w="109"/>
        <w:gridCol w:w="109"/>
        <w:gridCol w:w="196"/>
        <w:gridCol w:w="736"/>
        <w:gridCol w:w="109"/>
        <w:gridCol w:w="109"/>
        <w:gridCol w:w="109"/>
        <w:gridCol w:w="109"/>
        <w:gridCol w:w="233"/>
        <w:gridCol w:w="233"/>
        <w:gridCol w:w="241"/>
        <w:gridCol w:w="109"/>
        <w:gridCol w:w="109"/>
        <w:gridCol w:w="109"/>
        <w:gridCol w:w="233"/>
        <w:gridCol w:w="233"/>
        <w:gridCol w:w="349"/>
        <w:gridCol w:w="109"/>
        <w:gridCol w:w="109"/>
        <w:gridCol w:w="109"/>
        <w:gridCol w:w="196"/>
        <w:gridCol w:w="871"/>
        <w:gridCol w:w="109"/>
        <w:gridCol w:w="109"/>
        <w:gridCol w:w="109"/>
        <w:gridCol w:w="109"/>
        <w:gridCol w:w="196"/>
        <w:gridCol w:w="736"/>
        <w:gridCol w:w="109"/>
        <w:gridCol w:w="109"/>
        <w:gridCol w:w="109"/>
        <w:gridCol w:w="109"/>
        <w:gridCol w:w="188"/>
        <w:gridCol w:w="188"/>
        <w:gridCol w:w="241"/>
        <w:gridCol w:w="109"/>
        <w:gridCol w:w="109"/>
        <w:gridCol w:w="109"/>
        <w:gridCol w:w="233"/>
        <w:gridCol w:w="233"/>
        <w:gridCol w:w="40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Americas</w:t>
      </w:r>
      <w:r>
        <w:rPr>
          <w:rFonts w:ascii="Times New Roman;sans-serif" w:hAnsi="Times New Roman;sans-serif"/>
          <w:b w:val="false"/>
          <w:color w:val="000000"/>
          <w:sz w:val="20"/>
        </w:rPr>
        <w:t>. For the three and nine months ended September 30, 2024, the increase in revenues from the Americas was primarily driven by improvements in our business performance of $13,242 ($14,025 on a constant currency basis) and $46,564 ($47,514 on a constant currency basis),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and nine months ended September 30, 2024 were primarily due to expansion of our subscriptions revenues from existing accounts in the U.S, partially offset by a decline in services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EMEA</w:t>
      </w:r>
      <w:r>
        <w:rPr>
          <w:rFonts w:ascii="Times New Roman;sans-serif" w:hAnsi="Times New Roman;sans-serif"/>
          <w:b w:val="false"/>
          <w:color w:val="000000"/>
          <w:sz w:val="20"/>
        </w:rPr>
        <w:t>. For the three and nine months ended September 30, 2024, the increase in revenues from EMEA was primarily driven by improvements in our business performance of $8,387 ($7,041 on a constant currency basis) and $22,690 ($20,099 on a constant currency basis),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September 30, 2024 were primarily due to expansion of our subscriptions revenues from existing accounts in the United Kingdom and Africa.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nine months ended September 30, 2024 were primarily due to expansion of our subscriptions revenues from existing accounts in the United Kingdom, the Middle East, and Africa, partially offset by a decline in services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APAC.</w:t>
      </w:r>
      <w:r>
        <w:rPr>
          <w:color w:val="000000"/>
        </w:rPr>
        <w:t xml:space="preserve"> </w:t>
      </w:r>
      <w:r>
        <w:rPr>
          <w:rFonts w:ascii="Times New Roman;sans-serif" w:hAnsi="Times New Roman;sans-serif"/>
          <w:b w:val="false"/>
          <w:color w:val="000000"/>
          <w:sz w:val="20"/>
        </w:rPr>
        <w:t>For the three and nine months ended September 30, 2024, the increase in revenues from APAC was primarily driven by improvements in our business performance of $6,932 ($6,711 on a constant currency basis) and $16,247 ($18,011 on a constant currency basis),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and nine months ended September 30, 2024 were primarily due to expansion of our subscriptions revenues from existing accounts in Australia, Southeast Asia, and India, partially offset by declines of our subscriptions revenues from existing accounts in China.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10451"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218"/>
        <w:gridCol w:w="218"/>
        <w:gridCol w:w="241"/>
        <w:gridCol w:w="109"/>
        <w:gridCol w:w="109"/>
        <w:gridCol w:w="109"/>
        <w:gridCol w:w="218"/>
        <w:gridCol w:w="218"/>
        <w:gridCol w:w="349"/>
        <w:gridCol w:w="109"/>
        <w:gridCol w:w="109"/>
        <w:gridCol w:w="109"/>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40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subscriptions and licenses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Cost of subscriptions and licenses.</w:t>
      </w:r>
      <w:r>
        <w:rPr>
          <w:color w:val="000000"/>
        </w:rPr>
        <w:t xml:space="preserve"> </w:t>
      </w:r>
      <w:r>
        <w:rPr>
          <w:rFonts w:ascii="Times New Roman;sans-serif" w:hAnsi="Times New Roman;sans-serif"/>
          <w:b w:val="false"/>
          <w:color w:val="000000"/>
          <w:sz w:val="20"/>
        </w:rPr>
        <w:t>For the three months ended September 30, 2024, on a constant currency basis, cost of subscriptions and licenses increased primarily due to an increase in cloud</w:t>
        <w:noBreakHyphen/>
        <w:t>related costs of $3,360, partially offset by lower amortization of capitalized costs under our Accelerated Commercial Development Program (“ACDP”) as compared to the same period in the prior year.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on a constant currency basis, cost of subscriptions and licenses increased primarily due to an increase in cloud</w:t>
        <w:noBreakHyphen/>
        <w:t>related costs of $6,723. Partially offsetting this increase was lower amortization of capitalized costs under our ACDP of $1,833 as compared to the same period in the prior year. Additionally, headcount</w:t>
        <w:noBreakHyphen/>
        <w:t>related costs decreased $1,007 due to lower stock</w:t>
        <w:noBreakHyphen/>
        <w:t>based compensation expense, partially offset by realignment expenses recognized in 2024 related to the 2023 Program.</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Cost of services. </w:t>
      </w:r>
      <w:r>
        <w:rPr>
          <w:rFonts w:ascii="Times New Roman;sans-serif" w:hAnsi="Times New Roman;sans-serif"/>
          <w:b w:val="false"/>
          <w:color w:val="000000"/>
          <w:sz w:val="20"/>
        </w:rPr>
        <w:t>For the three and nine months ended September 30, 2024, on a constant currency basis, cost of services decreased primarily due to a decrease in headcount</w:t>
        <w:noBreakHyphen/>
        <w:t>related costs of $2,270 and $11,704, respectively, mainly due to a reduction in third</w:t>
        <w:noBreakHyphen/>
        <w:t>party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 (Income)</w:t>
      </w:r>
    </w:p>
    <w:tbl>
      <w:tblPr>
        <w:tblW w:w="10946" w:type="dxa"/>
        <w:jc w:val="center"/>
        <w:tblInd w:w="0" w:type="dxa"/>
        <w:tblLayout w:type="fixed"/>
        <w:tblCellMar>
          <w:top w:w="28" w:type="dxa"/>
          <w:left w:w="28" w:type="dxa"/>
          <w:bottom w:w="28" w:type="dxa"/>
          <w:right w:w="28" w:type="dxa"/>
        </w:tblCellMar>
      </w:tblPr>
      <w:tblGrid>
        <w:gridCol w:w="445"/>
        <w:gridCol w:w="325"/>
        <w:gridCol w:w="326"/>
        <w:gridCol w:w="196"/>
        <w:gridCol w:w="736"/>
        <w:gridCol w:w="109"/>
        <w:gridCol w:w="109"/>
        <w:gridCol w:w="109"/>
        <w:gridCol w:w="109"/>
        <w:gridCol w:w="196"/>
        <w:gridCol w:w="736"/>
        <w:gridCol w:w="109"/>
        <w:gridCol w:w="109"/>
        <w:gridCol w:w="109"/>
        <w:gridCol w:w="109"/>
        <w:gridCol w:w="263"/>
        <w:gridCol w:w="263"/>
        <w:gridCol w:w="241"/>
        <w:gridCol w:w="109"/>
        <w:gridCol w:w="109"/>
        <w:gridCol w:w="109"/>
        <w:gridCol w:w="263"/>
        <w:gridCol w:w="263"/>
        <w:gridCol w:w="349"/>
        <w:gridCol w:w="109"/>
        <w:gridCol w:w="109"/>
        <w:gridCol w:w="109"/>
        <w:gridCol w:w="196"/>
        <w:gridCol w:w="736"/>
        <w:gridCol w:w="109"/>
        <w:gridCol w:w="109"/>
        <w:gridCol w:w="109"/>
        <w:gridCol w:w="109"/>
        <w:gridCol w:w="196"/>
        <w:gridCol w:w="736"/>
        <w:gridCol w:w="109"/>
        <w:gridCol w:w="109"/>
        <w:gridCol w:w="109"/>
        <w:gridCol w:w="109"/>
        <w:gridCol w:w="278"/>
        <w:gridCol w:w="278"/>
        <w:gridCol w:w="241"/>
        <w:gridCol w:w="109"/>
        <w:gridCol w:w="109"/>
        <w:gridCol w:w="109"/>
        <w:gridCol w:w="278"/>
        <w:gridCol w:w="278"/>
        <w:gridCol w:w="402"/>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Constant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Currency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4"/>
              </w:rPr>
              <w:t>%</w:t>
            </w:r>
            <w:r>
              <w:rPr>
                <w:rFonts w:ascii="Times New Roman;sans-serif" w:hAnsi="Times New Roman;sans-serif"/>
                <w:b/>
                <w:color w:val="000000"/>
                <w:sz w:val="9"/>
              </w:rPr>
              <w:t>(1)</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Percentage changes that are considered not meaningful are denoted with NM.</w:t>
      </w:r>
    </w:p>
    <w:p>
      <w:pPr>
        <w:pStyle w:val="TextBody"/>
        <w:bidi w:val="0"/>
        <w:spacing w:lineRule="auto" w:line="288" w:before="0" w:after="20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For the three months ended September 30, 2024, on a constant currency basis, research and development expenses increased primarily due to an increase in headcount</w:t>
        <w:noBreakHyphen/>
        <w:t>related costs of $4,137 mainly due to an increase in annual and other compensation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on a constant currency basis, research and development expenses increased primarily due to an increase in headcount</w:t>
        <w:noBreakHyphen/>
        <w:t>related costs, mainly due to an increase in annual and other compensation costs, an increase in third</w:t>
        <w:noBreakHyphen/>
        <w:t>party personnel costs, and an increase in travel, partially offset by lower acquisition</w:t>
        <w:noBreakHyphen/>
        <w:t>related retention incentives and lower separation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our research and development headcount</w:t>
        <w:noBreakHyphen/>
        <w:t>related costs reflect run</w:t>
        <w:noBreakHyphen/>
        <w:t>rate savings associated with the strategic realignment program, which we initiated during the fourth quarter of 2023. While most of the realignment actions were completed at the beginning of 2024, our reinvestment of these run</w:t>
        <w:noBreakHyphen/>
        <w:t>rate savings into priority investment areas, such as artificial intelligence in product development, was fully realized during the third quarter of 2024.</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For the three and nine months ended September 30, 2024, on a constant currency basis, selling and marketing expenses increased primarily due to an increase in headcount</w:t>
        <w:noBreakHyphen/>
        <w:t>related costs of $10,050 and $16,418, respectively, mainly due to an increase in annual and other compensation costs, and an increase in third</w:t>
        <w:noBreakHyphen/>
        <w:t>party personnel costs primarily related to our marketing activities.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For the three months ended September 30, 2024, on a constant currency basis, general and administrative expenses increased primarily due to an increase in headcount</w:t>
        <w:noBreakHyphen/>
        <w:t>related costs of $2,770, mainly due to an increase in annual and other compensation costs, partially offset by a decrease in stock</w:t>
        <w:noBreakHyphen/>
        <w:t>based compensation expense. The decrease in stock</w:t>
        <w:noBreakHyphen/>
        <w:t>based compensation expense primarily related to the reduction in Gregory S. Bentley’s fractional interest under the Bonus Plan as part of Mr. Bentley’s transition to the role of Executive Chair of the Board of Directors effective July 1, 2024. For the three months ended September 30, 2024, general and administrative expenses further increased due to higher charitable contributions focusing on education and sustainability of $2,599. Additionally, during the three months ended September 30, 2024, we recognized approximately $2,700 of costs associated with our internal</w:t>
        <w:noBreakHyphen/>
        <w:t>use system implementations.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on a constant currency basis, general and administrative expenses increased primarily due to an increase in headcount</w:t>
        <w:noBreakHyphen/>
        <w:t>related costs of $9,565, mainly due to an increase in annual and other compensation costs, and to a lesser extent, an increase in stock</w:t>
        <w:noBreakHyphen/>
        <w:t>based compensation expense. For the nine months ended September 30, 2024, general and administrative expenses further increased due to higher expense associated with non</w:t>
        <w:noBreakHyphen/>
        <w:t>income related taxes of $4,152, and higher charitable contributions focusing on education and sustainability of $2,524. Additionally, during the nine months ended September 30, 2024, we recognized approximately $6,200 of costs associated with our internal</w:t>
        <w:noBreakHyphen/>
        <w:t>use system implementations, as well as approximately $2,200 of other corporate initiatives expenses. Partially offsetting these increases were lower acquisition costs of $4,593. During the nine months ended September 30, 2023, we recorded income of $1,797 due to the continued wind down of our Russian entities since we exited operations beginning in the second quarter of 2022.</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Deferred compensation plan</w:t>
      </w:r>
      <w:r>
        <w:rPr>
          <w:rFonts w:ascii="Times New Roman;sans-serif" w:hAnsi="Times New Roman;sans-serif"/>
          <w:b w:val="false"/>
          <w:color w:val="000000"/>
          <w:sz w:val="20"/>
        </w:rPr>
        <w:t>. For the three and nine months ended September 30, 2024 and 2023, deferred compensation plan expense (income)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For the three and nine months ended September 30, 2024, on a constant currency basis, amortization of purchased intangibles decreased primarily due to previously acquired intangible assets that continue to become fully amortized and lower acquisition activity as compared to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tbl>
      <w:tblPr>
        <w:tblW w:w="9027" w:type="dxa"/>
        <w:jc w:val="center"/>
        <w:tblInd w:w="0" w:type="dxa"/>
        <w:tblLayout w:type="fixed"/>
        <w:tblCellMar>
          <w:top w:w="28" w:type="dxa"/>
          <w:left w:w="28" w:type="dxa"/>
          <w:bottom w:w="28" w:type="dxa"/>
          <w:right w:w="28" w:type="dxa"/>
        </w:tblCellMar>
      </w:tblPr>
      <w:tblGrid>
        <w:gridCol w:w="564"/>
        <w:gridCol w:w="496"/>
        <w:gridCol w:w="499"/>
        <w:gridCol w:w="196"/>
        <w:gridCol w:w="631"/>
        <w:gridCol w:w="109"/>
        <w:gridCol w:w="109"/>
        <w:gridCol w:w="109"/>
        <w:gridCol w:w="109"/>
        <w:gridCol w:w="196"/>
        <w:gridCol w:w="721"/>
        <w:gridCol w:w="109"/>
        <w:gridCol w:w="109"/>
        <w:gridCol w:w="109"/>
        <w:gridCol w:w="109"/>
        <w:gridCol w:w="263"/>
        <w:gridCol w:w="263"/>
        <w:gridCol w:w="357"/>
        <w:gridCol w:w="109"/>
        <w:gridCol w:w="109"/>
        <w:gridCol w:w="109"/>
        <w:gridCol w:w="196"/>
        <w:gridCol w:w="721"/>
        <w:gridCol w:w="109"/>
        <w:gridCol w:w="109"/>
        <w:gridCol w:w="109"/>
        <w:gridCol w:w="109"/>
        <w:gridCol w:w="196"/>
        <w:gridCol w:w="721"/>
        <w:gridCol w:w="109"/>
        <w:gridCol w:w="109"/>
        <w:gridCol w:w="109"/>
        <w:gridCol w:w="109"/>
        <w:gridCol w:w="263"/>
        <w:gridCol w:w="263"/>
        <w:gridCol w:w="410"/>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interest expense, net decreased primarily due to lower weighted average debt outstanding, as compared to the same period in the prior year, mainly related to the pay down of our revolving loan borrowings in January 2024 and repayments of our senior secured term loan during the second and third quarters of 2024 under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8339" w:type="dxa"/>
        <w:jc w:val="center"/>
        <w:tblInd w:w="0" w:type="dxa"/>
        <w:tblLayout w:type="fixed"/>
        <w:tblCellMar>
          <w:top w:w="28" w:type="dxa"/>
          <w:left w:w="28" w:type="dxa"/>
          <w:bottom w:w="28" w:type="dxa"/>
          <w:right w:w="28" w:type="dxa"/>
        </w:tblCellMar>
      </w:tblPr>
      <w:tblGrid>
        <w:gridCol w:w="1238"/>
        <w:gridCol w:w="1087"/>
        <w:gridCol w:w="1094"/>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$1,561 and $(1,574) for the three months ended September 30, 2024 and 2023, respectively, and $1,130 and $684 for the nine months ended September 30, 2024 and 2023, respectively.</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charges of $(7,318) for the nine months ended September 30, 2023, partially offset by gains on investments of $2,360 recorded during the three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the effective tax rate was higher compared to the same period in the prior year primarily due to the impact of the decrease in discrete tax benefits recognized in the current year period. For the three months ended September 30, 2024, we recorded discrete tax expenses of $2,887. For the three months ended September 30, 2023, we recorded discrete tax benefits of $4,428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effective tax rate was higher compared to the same period in the prior year primarily due to the impact of the decrease in discrete tax benefits recognized in the current year period. For the nine months ended September 30, 2024 and 2023, we recorded discrete tax benefits of $17,794 and $31,895,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1,076,434 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Twelve-months ended constant currency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ARR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resulting from the annualization of recurring contracts with consumption measurement durations of less than one year, as a percentage of total ARR, was 49% and 46% as of September 30, 2024 and 2023, respectively, with our E365 subscription offering representing 43% and 39% of total ARR as of September 30, 2024 and 2023,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last twelve</w:t>
        <w:noBreakHyphen/>
        <w:t>months recurring revenues for the periods ended September 30, 2024 compared to the last twelve</w:t>
        <w:noBreakHyphen/>
        <w:t>months of the comparative twelve</w:t>
        <w:noBreakHyphen/>
        <w:t>month period increased by $118,684.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September 30, 2024 and 2023, 91% and 89%, respectively, of our revenues were recurring revenues.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Account Retention Rate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that recurring revenues represented 91% and 89% of our total revenues for the twelve months ended September 30, 2024 and 2023,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Adjusted OI w/SBC</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Adjusted OI w/SBC and to Adjusted operating income:</w:t>
      </w:r>
    </w:p>
    <w:tbl>
      <w:tblPr>
        <w:tblW w:w="9059"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purchased intangibles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plan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(income)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 w/SBC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our adjustments in arriving at Adjusted OI w/SBC and Adjusted operating income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Amortization of purchased intangibles</w:t>
      </w:r>
      <w:r>
        <w:rPr>
          <w:rFonts w:ascii="Times New Roman;sans-serif" w:hAnsi="Times New Roman;sans-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Deferred compensation plan</w:t>
      </w:r>
      <w:r>
        <w:rPr>
          <w:rFonts w:ascii="Times New Roman;sans-serif" w:hAnsi="Times New Roman;sans-serif"/>
          <w:b w:val="false"/>
          <w:color w:val="000000"/>
          <w:sz w:val="18"/>
        </w:rPr>
        <w:t xml:space="preserve">. We exclude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We incur expenses for professional services rendered in connection with business combinations, which are included in our GAAP presentation of general and administrative expense (see Note 4 to our consolidated financial statements included in Part I, Item 1 of this Quarterly Report on Form 10</w:t>
        <w:noBreakHyphen/>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i/>
          <w:color w:val="000000"/>
          <w:sz w:val="18"/>
        </w:rPr>
        <w:t>Realignment expenses (income)</w:t>
      </w:r>
      <w:r>
        <w:rPr>
          <w:rFonts w:ascii="Times New Roman;sans-serif" w:hAnsi="Times New Roman;sans-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three and nine months ended September 30, 2024,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 xml:space="preserve">were primarily associated with the 2023 Program. For the three and nine months ended September 30, 2023, </w:t>
      </w:r>
      <w:r>
        <w:rPr>
          <w:rFonts w:ascii="Times New Roman;sans-serif" w:hAnsi="Times New Roman;sans-serif"/>
          <w:b w:val="false"/>
          <w:i/>
          <w:color w:val="000000"/>
          <w:sz w:val="18"/>
        </w:rPr>
        <w:t>Realignment expenses (income)</w:t>
      </w:r>
      <w:r>
        <w:rPr>
          <w:color w:val="000000"/>
        </w:rPr>
        <w:t xml:space="preserve"> </w:t>
      </w:r>
      <w:r>
        <w:rPr>
          <w:rFonts w:ascii="Times New Roman;sans-serif" w:hAnsi="Times New Roman;sans-serif"/>
          <w:b w:val="false"/>
          <w:color w:val="000000"/>
          <w:sz w:val="18"/>
        </w:rPr>
        <w:t>was associated with the continued wind down of our Russian entities since we exited operations beginning in the second quarter of 2022.</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i/>
          <w:color w:val="000000"/>
          <w:sz w:val="18"/>
        </w:rPr>
        <w:t>Stock</w:t>
        <w:noBreakHyphen/>
        <w:t>based compensation expense</w:t>
      </w:r>
      <w:r>
        <w:rPr>
          <w:rFonts w:ascii="Times New Roman;sans-serif" w:hAnsi="Times New Roman;sans-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Constant Currency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0"/>
        <w:gridCol w:w="441"/>
        <w:gridCol w:w="211"/>
        <w:gridCol w:w="826"/>
        <w:gridCol w:w="109"/>
        <w:gridCol w:w="109"/>
        <w:gridCol w:w="109"/>
        <w:gridCol w:w="109"/>
        <w:gridCol w:w="279"/>
        <w:gridCol w:w="863"/>
        <w:gridCol w:w="144"/>
        <w:gridCol w:w="109"/>
        <w:gridCol w:w="109"/>
        <w:gridCol w:w="109"/>
        <w:gridCol w:w="220"/>
        <w:gridCol w:w="863"/>
        <w:gridCol w:w="113"/>
        <w:gridCol w:w="109"/>
        <w:gridCol w:w="109"/>
        <w:gridCol w:w="109"/>
        <w:gridCol w:w="211"/>
        <w:gridCol w:w="826"/>
        <w:gridCol w:w="109"/>
        <w:gridCol w:w="109"/>
        <w:gridCol w:w="109"/>
        <w:gridCol w:w="109"/>
        <w:gridCol w:w="296"/>
        <w:gridCol w:w="717"/>
        <w:gridCol w:w="153"/>
        <w:gridCol w:w="109"/>
        <w:gridCol w:w="109"/>
        <w:gridCol w:w="109"/>
        <w:gridCol w:w="220"/>
        <w:gridCol w:w="862"/>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333,854 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484"/>
        <w:gridCol w:w="425"/>
        <w:gridCol w:w="427"/>
        <w:gridCol w:w="211"/>
        <w:gridCol w:w="976"/>
        <w:gridCol w:w="109"/>
        <w:gridCol w:w="109"/>
        <w:gridCol w:w="109"/>
        <w:gridCol w:w="109"/>
        <w:gridCol w:w="270"/>
        <w:gridCol w:w="649"/>
        <w:gridCol w:w="139"/>
        <w:gridCol w:w="109"/>
        <w:gridCol w:w="109"/>
        <w:gridCol w:w="109"/>
        <w:gridCol w:w="214"/>
        <w:gridCol w:w="991"/>
        <w:gridCol w:w="110"/>
        <w:gridCol w:w="109"/>
        <w:gridCol w:w="109"/>
        <w:gridCol w:w="109"/>
        <w:gridCol w:w="211"/>
        <w:gridCol w:w="826"/>
        <w:gridCol w:w="109"/>
        <w:gridCol w:w="109"/>
        <w:gridCol w:w="109"/>
        <w:gridCol w:w="109"/>
        <w:gridCol w:w="258"/>
        <w:gridCol w:w="793"/>
        <w:gridCol w:w="133"/>
        <w:gridCol w:w="109"/>
        <w:gridCol w:w="109"/>
        <w:gridCol w:w="109"/>
        <w:gridCol w:w="217"/>
        <w:gridCol w:w="851"/>
        <w:gridCol w:w="16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906,988 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1,002,382 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916,758 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14"/>
        <w:gridCol w:w="983"/>
        <w:gridCol w:w="162"/>
        <w:gridCol w:w="109"/>
        <w:gridCol w:w="109"/>
        <w:gridCol w:w="109"/>
        <w:gridCol w:w="225"/>
        <w:gridCol w:w="883"/>
        <w:gridCol w:w="116"/>
        <w:gridCol w:w="109"/>
        <w:gridCol w:w="109"/>
        <w:gridCol w:w="109"/>
        <w:gridCol w:w="211"/>
        <w:gridCol w:w="826"/>
        <w:gridCol w:w="109"/>
        <w:gridCol w:w="109"/>
        <w:gridCol w:w="109"/>
        <w:gridCol w:w="109"/>
        <w:gridCol w:w="340"/>
        <w:gridCol w:w="834"/>
        <w:gridCol w:w="175"/>
        <w:gridCol w:w="109"/>
        <w:gridCol w:w="109"/>
        <w:gridCol w:w="109"/>
        <w:gridCol w:w="224"/>
        <w:gridCol w:w="881"/>
        <w:gridCol w:w="170"/>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333,854 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43"/>
        <w:gridCol w:w="302"/>
        <w:gridCol w:w="304"/>
        <w:gridCol w:w="211"/>
        <w:gridCol w:w="976"/>
        <w:gridCol w:w="109"/>
        <w:gridCol w:w="109"/>
        <w:gridCol w:w="109"/>
        <w:gridCol w:w="109"/>
        <w:gridCol w:w="313"/>
        <w:gridCol w:w="762"/>
        <w:gridCol w:w="161"/>
        <w:gridCol w:w="109"/>
        <w:gridCol w:w="109"/>
        <w:gridCol w:w="109"/>
        <w:gridCol w:w="216"/>
        <w:gridCol w:w="1003"/>
        <w:gridCol w:w="112"/>
        <w:gridCol w:w="109"/>
        <w:gridCol w:w="109"/>
        <w:gridCol w:w="109"/>
        <w:gridCol w:w="211"/>
        <w:gridCol w:w="826"/>
        <w:gridCol w:w="109"/>
        <w:gridCol w:w="109"/>
        <w:gridCol w:w="109"/>
        <w:gridCol w:w="109"/>
        <w:gridCol w:w="292"/>
        <w:gridCol w:w="909"/>
        <w:gridCol w:w="151"/>
        <w:gridCol w:w="109"/>
        <w:gridCol w:w="109"/>
        <w:gridCol w:w="109"/>
        <w:gridCol w:w="221"/>
        <w:gridCol w:w="869"/>
        <w:gridCol w:w="170"/>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489,294 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1,002,382 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916,758 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31"/>
        <w:gridCol w:w="809"/>
        <w:gridCol w:w="171"/>
        <w:gridCol w:w="109"/>
        <w:gridCol w:w="109"/>
        <w:gridCol w:w="109"/>
        <w:gridCol w:w="230"/>
        <w:gridCol w:w="787"/>
        <w:gridCol w:w="118"/>
        <w:gridCol w:w="109"/>
        <w:gridCol w:w="109"/>
        <w:gridCol w:w="109"/>
        <w:gridCol w:w="211"/>
        <w:gridCol w:w="721"/>
        <w:gridCol w:w="109"/>
        <w:gridCol w:w="109"/>
        <w:gridCol w:w="109"/>
        <w:gridCol w:w="109"/>
        <w:gridCol w:w="396"/>
        <w:gridCol w:w="708"/>
        <w:gridCol w:w="207"/>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8"/>
        <w:gridCol w:w="464"/>
        <w:gridCol w:w="466"/>
        <w:gridCol w:w="211"/>
        <w:gridCol w:w="826"/>
        <w:gridCol w:w="109"/>
        <w:gridCol w:w="109"/>
        <w:gridCol w:w="109"/>
        <w:gridCol w:w="109"/>
        <w:gridCol w:w="300"/>
        <w:gridCol w:w="729"/>
        <w:gridCol w:w="155"/>
        <w:gridCol w:w="109"/>
        <w:gridCol w:w="109"/>
        <w:gridCol w:w="109"/>
        <w:gridCol w:w="221"/>
        <w:gridCol w:w="865"/>
        <w:gridCol w:w="114"/>
        <w:gridCol w:w="109"/>
        <w:gridCol w:w="109"/>
        <w:gridCol w:w="109"/>
        <w:gridCol w:w="211"/>
        <w:gridCol w:w="826"/>
        <w:gridCol w:w="109"/>
        <w:gridCol w:w="109"/>
        <w:gridCol w:w="109"/>
        <w:gridCol w:w="109"/>
        <w:gridCol w:w="358"/>
        <w:gridCol w:w="640"/>
        <w:gridCol w:w="187"/>
        <w:gridCol w:w="109"/>
        <w:gridCol w:w="109"/>
        <w:gridCol w:w="109"/>
        <w:gridCol w:w="220"/>
        <w:gridCol w:w="864"/>
        <w:gridCol w:w="167"/>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198,257 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expense (income) to operating expense (income) in constant currency:</w:t>
      </w:r>
    </w:p>
    <w:tbl>
      <w:tblPr>
        <w:tblW w:w="10205" w:type="dxa"/>
        <w:jc w:val="center"/>
        <w:tblInd w:w="0" w:type="dxa"/>
        <w:tblLayout w:type="fixed"/>
        <w:tblCellMar>
          <w:top w:w="28" w:type="dxa"/>
          <w:left w:w="28" w:type="dxa"/>
          <w:bottom w:w="28" w:type="dxa"/>
          <w:right w:w="28" w:type="dxa"/>
        </w:tblCellMar>
      </w:tblPr>
      <w:tblGrid>
        <w:gridCol w:w="622"/>
        <w:gridCol w:w="466"/>
        <w:gridCol w:w="469"/>
        <w:gridCol w:w="211"/>
        <w:gridCol w:w="826"/>
        <w:gridCol w:w="109"/>
        <w:gridCol w:w="109"/>
        <w:gridCol w:w="109"/>
        <w:gridCol w:w="109"/>
        <w:gridCol w:w="290"/>
        <w:gridCol w:w="702"/>
        <w:gridCol w:w="150"/>
        <w:gridCol w:w="109"/>
        <w:gridCol w:w="109"/>
        <w:gridCol w:w="109"/>
        <w:gridCol w:w="219"/>
        <w:gridCol w:w="861"/>
        <w:gridCol w:w="113"/>
        <w:gridCol w:w="109"/>
        <w:gridCol w:w="109"/>
        <w:gridCol w:w="109"/>
        <w:gridCol w:w="211"/>
        <w:gridCol w:w="826"/>
        <w:gridCol w:w="109"/>
        <w:gridCol w:w="109"/>
        <w:gridCol w:w="109"/>
        <w:gridCol w:w="109"/>
        <w:gridCol w:w="290"/>
        <w:gridCol w:w="702"/>
        <w:gridCol w:w="150"/>
        <w:gridCol w:w="109"/>
        <w:gridCol w:w="109"/>
        <w:gridCol w:w="109"/>
        <w:gridCol w:w="219"/>
        <w:gridCol w:w="859"/>
        <w:gridCol w:w="166"/>
      </w:tblGrid>
      <w:tr>
        <w:trPr/>
        <w:tc>
          <w:tcPr>
            <w:tcW w:w="6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2"/>
        <w:gridCol w:w="466"/>
        <w:gridCol w:w="469"/>
        <w:gridCol w:w="211"/>
        <w:gridCol w:w="826"/>
        <w:gridCol w:w="109"/>
        <w:gridCol w:w="109"/>
        <w:gridCol w:w="109"/>
        <w:gridCol w:w="109"/>
        <w:gridCol w:w="305"/>
        <w:gridCol w:w="676"/>
        <w:gridCol w:w="160"/>
        <w:gridCol w:w="109"/>
        <w:gridCol w:w="109"/>
        <w:gridCol w:w="109"/>
        <w:gridCol w:w="219"/>
        <w:gridCol w:w="861"/>
        <w:gridCol w:w="113"/>
        <w:gridCol w:w="109"/>
        <w:gridCol w:w="109"/>
        <w:gridCol w:w="109"/>
        <w:gridCol w:w="211"/>
        <w:gridCol w:w="826"/>
        <w:gridCol w:w="109"/>
        <w:gridCol w:w="109"/>
        <w:gridCol w:w="109"/>
        <w:gridCol w:w="109"/>
        <w:gridCol w:w="353"/>
        <w:gridCol w:w="604"/>
        <w:gridCol w:w="184"/>
        <w:gridCol w:w="109"/>
        <w:gridCol w:w="109"/>
        <w:gridCol w:w="109"/>
        <w:gridCol w:w="219"/>
        <w:gridCol w:w="859"/>
        <w:gridCol w:w="168"/>
      </w:tblGrid>
      <w:tr>
        <w:trPr/>
        <w:tc>
          <w:tcPr>
            <w:tcW w:w="6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573,434 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526,783 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tbl>
      <w:tblPr>
        <w:tblW w:w="8079" w:type="dxa"/>
        <w:jc w:val="center"/>
        <w:tblInd w:w="0" w:type="dxa"/>
        <w:tblLayout w:type="fixed"/>
        <w:tblCellMar>
          <w:top w:w="28" w:type="dxa"/>
          <w:left w:w="28" w:type="dxa"/>
          <w:bottom w:w="28" w:type="dxa"/>
          <w:right w:w="28" w:type="dxa"/>
        </w:tblCellMar>
      </w:tblPr>
      <w:tblGrid>
        <w:gridCol w:w="1651"/>
        <w:gridCol w:w="1452"/>
        <w:gridCol w:w="1456"/>
        <w:gridCol w:w="324"/>
        <w:gridCol w:w="1111"/>
        <w:gridCol w:w="169"/>
        <w:gridCol w:w="109"/>
        <w:gridCol w:w="109"/>
        <w:gridCol w:w="109"/>
        <w:gridCol w:w="308"/>
        <w:gridCol w:w="1055"/>
        <w:gridCol w:w="226"/>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domestically</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foreign subsidiaries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Cash Flows Activity</w:t>
      </w:r>
    </w:p>
    <w:tbl>
      <w:tblPr>
        <w:tblW w:w="5498" w:type="dxa"/>
        <w:jc w:val="center"/>
        <w:tblInd w:w="0" w:type="dxa"/>
        <w:tblLayout w:type="fixed"/>
        <w:tblCellMar>
          <w:top w:w="28" w:type="dxa"/>
          <w:left w:w="28" w:type="dxa"/>
          <w:bottom w:w="28" w:type="dxa"/>
          <w:right w:w="28" w:type="dxa"/>
        </w:tblCellMar>
      </w:tblPr>
      <w:tblGrid>
        <w:gridCol w:w="961"/>
        <w:gridCol w:w="843"/>
        <w:gridCol w:w="850"/>
        <w:gridCol w:w="225"/>
        <w:gridCol w:w="883"/>
        <w:gridCol w:w="116"/>
        <w:gridCol w:w="116"/>
        <w:gridCol w:w="116"/>
        <w:gridCol w:w="116"/>
        <w:gridCol w:w="225"/>
        <w:gridCol w:w="883"/>
        <w:gridCol w:w="16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compared to the same period in the prior year, net cash provided by operating activities was higher by $24,017 due to an increase in net income of $37,492 and a net increase in non</w:t>
        <w:noBreakHyphen/>
        <w:t>cash adjustments of $30,200, partially offset by a decrease in net cash flows from the change in operating assets and liabilities of $43,675. The decrease in cash flows from the change in operating assets and liabilities was primarily due to the timing of collections on our receivables and a decrease in deferred revenues.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higher by $84,435 for the nine months ended September 30, 2024, compared to the same period in the prior year, primarily due to higher acquisition related payments of $105,664, partially offset by lower purchases of investments of $10,545 and lower purchases of property and equipment and investment in capitalized software of $10,407. We used available cash and borrowings under our Credit Facility to fund an acquisition in September 2024.</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lower by $66,801 for the nine months ended September 30, 2024, compared to the same period in the prior year, primarily due to lower net paydowns of the Credit Facility of $81,575, partially offset by higher dividend payments of $9,993, primarily due to an increase in our quarterly dividend per share to $0.06 in 2024 from $0.05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Long-Term Debt</w:t>
      </w:r>
    </w:p>
    <w:tbl>
      <w:tblPr>
        <w:tblW w:w="6355" w:type="dxa"/>
        <w:jc w:val="center"/>
        <w:tblInd w:w="0" w:type="dxa"/>
        <w:tblLayout w:type="fixed"/>
        <w:tblCellMar>
          <w:top w:w="28" w:type="dxa"/>
          <w:left w:w="28" w:type="dxa"/>
          <w:bottom w:w="28" w:type="dxa"/>
          <w:right w:w="28" w:type="dxa"/>
        </w:tblCellMar>
      </w:tblPr>
      <w:tblGrid>
        <w:gridCol w:w="1027"/>
        <w:gridCol w:w="900"/>
        <w:gridCol w:w="907"/>
        <w:gridCol w:w="261"/>
        <w:gridCol w:w="1209"/>
        <w:gridCol w:w="135"/>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1,418,870 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$732,149 available under the Credit Facility. During the nine months ended September 30, 2024, we made repayments of $140,000 on the senior secured term loan under the Credit Facility. Under the terms of the senior secured term loan, repayments are applied to unpaid quarterly principal installments. There are no remaining required principal installments on the senior secured term loan through the maturity date of November 15,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covenants under the Credit Facility, the 2026 Notes, and the 2027 Notes as of September 30, 2024.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2024, we entered into the 2024 Credit Facility, which provides us with a $1,300,000 revolving credit facility, including $125,000 in swingline loans and $125,000 in letters of credit. The 2024 Credit Facility also provides us with a $500,000 “accordion” feature to increase the facility in the form of both revolving indebtedness and/or incremental term loans. On October 18, 2024, we used borrowings under the 2024 Credit Facility to repay all indebtedness outstanding under the Credit Facility, including the outstanding senior secured term loan.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BSY Stock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us to repurchase up to $200,000 of our Class B common stock and/or outstanding convertible senior notes through June 30, 2024 under the Repurchase Program. This authorization under the Repurchase Program expired on June 30, 2024. In March 2024, our Board of Directors approved an extension to the Repurchase Program authorizing us to repurchase up to $200,000 of our Class B common stock and/or outstanding convertible senior notes from June 30, 2024 through June 30, 2026.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repurchased 912,737 shares for $45,769 under the Repurchase Program. For the nine months ended September 30, 2023, we did not repurchase shares under the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nine months ended September 30, 2024, we exercised our right to require that impacted equity awardees receive gross quantities of our Class B common stock. During the nine months ended September 30, 2023, we allowed impacted awardees the option to receive net quantities of shares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Dividend Payments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is within the discretion of our Board of Directors. We paid quarterly dividends of $0.06 per share of common stock during the nine months ended September 30, 2024 and $0.05 per share of common stock during the nine months ended September 30, 2023.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exposure as described in Part II, Item 7A. Quantitative and Qualitative Disclosures About Market Risk in our 2023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2024, our disclosure controls and procedures were effective at the reasonable assurance level.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management’s evaluation pursuant to Rules 13a or 15d of the Exchange Act that occurred during the quarter ended September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Part I, Item 1A. Risk Factors in our 2023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Equity Securities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July 1, 2024 to September 30, 2024, we issued 174,479 shares of our Class B common stock pursuant to the vesting of restricted stock and RSUs.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July 1, 2024 to September 30, 2024, we issued 2,181,214 shares of our Class B common stock in connection with distributions from our DCP.</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Class B common stock we repurchased during the three months ended September 30, 2024:</w:t>
      </w:r>
    </w:p>
    <w:tbl>
      <w:tblPr>
        <w:tblW w:w="10205" w:type="dxa"/>
        <w:jc w:val="center"/>
        <w:tblInd w:w="0" w:type="dxa"/>
        <w:tblLayout w:type="fixed"/>
        <w:tblCellMar>
          <w:top w:w="28" w:type="dxa"/>
          <w:left w:w="28" w:type="dxa"/>
          <w:bottom w:w="28" w:type="dxa"/>
          <w:right w:w="28" w:type="dxa"/>
        </w:tblCellMar>
      </w:tblPr>
      <w:tblGrid>
        <w:gridCol w:w="1102"/>
        <w:gridCol w:w="956"/>
        <w:gridCol w:w="971"/>
        <w:gridCol w:w="109"/>
        <w:gridCol w:w="109"/>
        <w:gridCol w:w="109"/>
        <w:gridCol w:w="459"/>
        <w:gridCol w:w="452"/>
        <w:gridCol w:w="452"/>
        <w:gridCol w:w="109"/>
        <w:gridCol w:w="109"/>
        <w:gridCol w:w="109"/>
        <w:gridCol w:w="320"/>
        <w:gridCol w:w="666"/>
        <w:gridCol w:w="181"/>
        <w:gridCol w:w="109"/>
        <w:gridCol w:w="109"/>
        <w:gridCol w:w="109"/>
        <w:gridCol w:w="523"/>
        <w:gridCol w:w="512"/>
        <w:gridCol w:w="514"/>
        <w:gridCol w:w="109"/>
        <w:gridCol w:w="109"/>
        <w:gridCol w:w="109"/>
        <w:gridCol w:w="248"/>
        <w:gridCol w:w="1340"/>
        <w:gridCol w:w="201"/>
      </w:tblGrid>
      <w:tr>
        <w:trPr/>
        <w:tc>
          <w:tcPr>
            <w:tcW w:w="110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Shares that</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 of Publicly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Yet Be Purchased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Announced Plan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Under the Plan </w:t>
            </w:r>
            <w:r>
              <w:rPr>
                <w:rFonts w:ascii="Times New Roman;sans-serif" w:hAnsi="Times New Roman;sans-serif"/>
                <w:b/>
                <w:color w:val="000000"/>
                <w:sz w:val="10"/>
              </w:rPr>
              <w:t>(2)</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2024 to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2024 to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183,056 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183,056 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191,738,298 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2024 to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191,738,298 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183,056 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45.13 </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183,056 </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(2)These amounts correspond to the plan publicly announced and approved by our Board of Directors in March 2024 that authorizes the repurchase up to $200 million of our Class B common stock and/or outstanding convertible senior notes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2024, Keith A. Bentley, a member of the Company’s Board of Directors, adopted a trading plan established pursuant to Rule 10b5</w:t>
        <w:noBreakHyphen/>
        <w:t>1 of the Exchange Act, which is intended to satisfy the affirmative defense conditions of Rule 10b5</w:t>
        <w:noBreakHyphen/>
        <w:t>1(c), to sell an aggregate of 70,725 shares of our Class B common stock. Mr. Bentley’s plan expires on February 15,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4"/>
        <w:gridCol w:w="268"/>
        <w:gridCol w:w="270"/>
        <w:gridCol w:w="109"/>
        <w:gridCol w:w="109"/>
        <w:gridCol w:w="109"/>
        <w:gridCol w:w="2686"/>
        <w:gridCol w:w="2610"/>
        <w:gridCol w:w="374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Second Am</w:t>
              </w:r>
            </w:hyperlink>
            <w:hyperlink r:id="rId3">
              <w:r>
                <w:rPr>
                  <w:rStyle w:val="InternetLink"/>
                  <w:rFonts w:ascii="Times New Roman;sans-serif" w:hAnsi="Times New Roman;sans-serif"/>
                  <w:b w:val="false"/>
                  <w:color w:val="000080"/>
                  <w:sz w:val="20"/>
                  <w:u w:val="single"/>
                </w:rPr>
                <w:t xml:space="preserve">ended and Restated </w:t>
              </w:r>
            </w:hyperlink>
            <w:hyperlink r:id="rId4">
              <w:r>
                <w:rPr>
                  <w:rStyle w:val="InternetLink"/>
                  <w:rFonts w:ascii="Times New Roman;sans-serif" w:hAnsi="Times New Roman;sans-serif"/>
                  <w:b w:val="false"/>
                  <w:color w:val="000080"/>
                  <w:sz w:val="20"/>
                  <w:u w:val="single"/>
                </w:rPr>
                <w:t>Credit Agreement, dated as of October</w:t>
              </w:r>
            </w:hyperlink>
            <w:hyperlink r:id="rId5">
              <w:r>
                <w:rPr>
                  <w:rStyle w:val="InternetLink"/>
                  <w:rFonts w:ascii="Times New Roman;sans-serif" w:hAnsi="Times New Roman;sans-serif"/>
                  <w:b w:val="false"/>
                  <w:color w:val="000080"/>
                  <w:sz w:val="20"/>
                  <w:u w:val="single"/>
                </w:rPr>
                <w:t> </w:t>
              </w:r>
            </w:hyperlink>
            <w:hyperlink r:id="rId6">
              <w:r>
                <w:rPr>
                  <w:rStyle w:val="InternetLink"/>
                  <w:rFonts w:ascii="Times New Roman;sans-serif" w:hAnsi="Times New Roman;sans-serif"/>
                  <w:b w:val="false"/>
                  <w:color w:val="000080"/>
                  <w:sz w:val="20"/>
                  <w:u w:val="single"/>
                </w:rPr>
                <w:t>18</w:t>
              </w:r>
            </w:hyperlink>
            <w:hyperlink r:id="rId7">
              <w:r>
                <w:rPr>
                  <w:rStyle w:val="InternetLink"/>
                  <w:rFonts w:ascii="Times New Roman;sans-serif" w:hAnsi="Times New Roman;sans-serif"/>
                  <w:b w:val="false"/>
                  <w:color w:val="000080"/>
                  <w:sz w:val="20"/>
                  <w:u w:val="single"/>
                </w:rPr>
                <w:t>, 2024</w:t>
              </w:r>
            </w:hyperlink>
            <w:hyperlink r:id="rId8">
              <w:r>
                <w:rPr>
                  <w:rStyle w:val="InternetLink"/>
                  <w:rFonts w:ascii="Times New Roman;sans-serif" w:hAnsi="Times New Roman;sans-serif"/>
                  <w:b w:val="false"/>
                  <w:color w:val="000080"/>
                  <w:sz w:val="20"/>
                  <w:u w:val="single"/>
                </w:rPr>
                <w:t xml:space="preserve">, by and among </w:t>
              </w:r>
            </w:hyperlink>
            <w:hyperlink r:id="rId9">
              <w:r>
                <w:rPr>
                  <w:rStyle w:val="InternetLink"/>
                  <w:rFonts w:ascii="Times New Roman;sans-serif" w:hAnsi="Times New Roman;sans-serif"/>
                  <w:b w:val="false"/>
                  <w:color w:val="000080"/>
                  <w:sz w:val="20"/>
                  <w:u w:val="single"/>
                </w:rPr>
                <w:t>Bentley Systems, Incorporated</w:t>
              </w:r>
            </w:hyperlink>
            <w:hyperlink r:id="rId10">
              <w:r>
                <w:rPr>
                  <w:rStyle w:val="InternetLink"/>
                  <w:rFonts w:ascii="Times New Roman;sans-serif" w:hAnsi="Times New Roman;sans-serif"/>
                  <w:b w:val="false"/>
                  <w:color w:val="000080"/>
                  <w:sz w:val="20"/>
                  <w:u w:val="single"/>
                </w:rPr>
                <w:t>, the lenders party th</w:t>
              </w:r>
            </w:hyperlink>
            <w:hyperlink r:id="rId11">
              <w:r>
                <w:rPr>
                  <w:rStyle w:val="InternetLink"/>
                  <w:rFonts w:ascii="Times New Roman;sans-serif" w:hAnsi="Times New Roman;sans-serif"/>
                  <w:b w:val="false"/>
                  <w:color w:val="000080"/>
                  <w:sz w:val="20"/>
                  <w:u w:val="single"/>
                </w:rPr>
                <w:t xml:space="preserve">ereto, and </w:t>
              </w:r>
            </w:hyperlink>
            <w:hyperlink r:id="rId12">
              <w:r>
                <w:rPr>
                  <w:rStyle w:val="InternetLink"/>
                  <w:rFonts w:ascii="Times New Roman;sans-serif" w:hAnsi="Times New Roman;sans-serif"/>
                  <w:b w:val="false"/>
                  <w:color w:val="000080"/>
                  <w:sz w:val="20"/>
                  <w:u w:val="single"/>
                </w:rPr>
                <w:t>PNC Bank, National A</w:t>
              </w:r>
            </w:hyperlink>
            <w:hyperlink r:id="rId13">
              <w:r>
                <w:rPr>
                  <w:rStyle w:val="InternetLink"/>
                  <w:rFonts w:ascii="Times New Roman;sans-serif" w:hAnsi="Times New Roman;sans-serif"/>
                  <w:b w:val="false"/>
                  <w:color w:val="000080"/>
                  <w:sz w:val="20"/>
                  <w:u w:val="single"/>
                </w:rPr>
                <w:t>ssociation, as administrati</w:t>
              </w:r>
            </w:hyperlink>
            <w:hyperlink r:id="rId14">
              <w:r>
                <w:rPr>
                  <w:rStyle w:val="InternetLink"/>
                  <w:rFonts w:ascii="Times New Roman;sans-serif" w:hAnsi="Times New Roman;sans-serif"/>
                  <w:b w:val="false"/>
                  <w:color w:val="000080"/>
                  <w:sz w:val="20"/>
                  <w:u w:val="single"/>
                </w:rPr>
                <w:t>ve agent</w:t>
              </w:r>
            </w:hyperlink>
            <w:hyperlink r:id="rId15">
              <w:r>
                <w:rPr>
                  <w:rStyle w:val="InternetLink"/>
                  <w:rFonts w:ascii="Times New Roman;sans-serif" w:hAnsi="Times New Roman;sans-serif"/>
                  <w:b w:val="false"/>
                  <w:color w:val="000080"/>
                  <w:sz w:val="20"/>
                  <w:u w:val="single"/>
                </w:rPr>
                <w:t xml:space="preserve"> (filed as Exhibit</w:t>
              </w:r>
            </w:hyperlink>
            <w:hyperlink r:id="rId16">
              <w:r>
                <w:rPr>
                  <w:rStyle w:val="InternetLink"/>
                  <w:rFonts w:ascii="Times New Roman;sans-serif" w:hAnsi="Times New Roman;sans-serif"/>
                  <w:b w:val="false"/>
                  <w:color w:val="000080"/>
                  <w:sz w:val="20"/>
                  <w:u w:val="single"/>
                </w:rPr>
                <w:t> </w:t>
              </w:r>
            </w:hyperlink>
            <w:hyperlink r:id="rId17">
              <w:r>
                <w:rPr>
                  <w:rStyle w:val="InternetLink"/>
                  <w:rFonts w:ascii="Times New Roman;sans-serif" w:hAnsi="Times New Roman;sans-serif"/>
                  <w:b w:val="false"/>
                  <w:color w:val="000080"/>
                  <w:sz w:val="20"/>
                  <w:u w:val="single"/>
                </w:rPr>
                <w:t>10.1 to our Current Report on Form</w:t>
              </w:r>
            </w:hyperlink>
            <w:hyperlink r:id="rId18">
              <w:r>
                <w:rPr>
                  <w:rStyle w:val="InternetLink"/>
                  <w:rFonts w:ascii="Times New Roman;sans-serif" w:hAnsi="Times New Roman;sans-serif"/>
                  <w:b w:val="false"/>
                  <w:color w:val="000080"/>
                  <w:sz w:val="20"/>
                  <w:u w:val="single"/>
                </w:rPr>
                <w:t> </w:t>
              </w:r>
            </w:hyperlink>
            <w:hyperlink r:id="rId19">
              <w:r>
                <w:rPr>
                  <w:rStyle w:val="InternetLink"/>
                  <w:rFonts w:ascii="Times New Roman;sans-serif" w:hAnsi="Times New Roman;sans-serif"/>
                  <w:b w:val="false"/>
                  <w:color w:val="000080"/>
                  <w:sz w:val="20"/>
                  <w:u w:val="single"/>
                </w:rPr>
                <w:t>8</w:t>
              </w:r>
            </w:hyperlink>
            <w:hyperlink r:id="rId20">
              <w:r>
                <w:rPr>
                  <w:rStyle w:val="InternetLink"/>
                  <w:rFonts w:ascii="Times New Roman;sans-serif" w:hAnsi="Times New Roman;sans-serif"/>
                  <w:b w:val="false"/>
                  <w:color w:val="000080"/>
                  <w:sz w:val="20"/>
                  <w:u w:val="single"/>
                </w:rPr>
                <w:noBreakHyphen/>
              </w:r>
            </w:hyperlink>
            <w:hyperlink r:id="rId21">
              <w:r>
                <w:rPr>
                  <w:rStyle w:val="InternetLink"/>
                  <w:rFonts w:ascii="Times New Roman;sans-serif" w:hAnsi="Times New Roman;sans-serif"/>
                  <w:b w:val="false"/>
                  <w:color w:val="000080"/>
                  <w:sz w:val="20"/>
                  <w:u w:val="single"/>
                </w:rPr>
                <w:t>K filed on October</w:t>
              </w:r>
            </w:hyperlink>
            <w:hyperlink r:id="rId22">
              <w:r>
                <w:rPr>
                  <w:rStyle w:val="InternetLink"/>
                  <w:rFonts w:ascii="Times New Roman;sans-serif" w:hAnsi="Times New Roman;sans-serif"/>
                  <w:b w:val="false"/>
                  <w:color w:val="000080"/>
                  <w:sz w:val="20"/>
                  <w:u w:val="single"/>
                </w:rPr>
                <w:t> </w:t>
              </w:r>
            </w:hyperlink>
            <w:hyperlink r:id="rId23">
              <w:r>
                <w:rPr>
                  <w:rStyle w:val="InternetLink"/>
                  <w:rFonts w:ascii="Times New Roman;sans-serif" w:hAnsi="Times New Roman;sans-serif"/>
                  <w:b w:val="false"/>
                  <w:color w:val="000080"/>
                  <w:sz w:val="20"/>
                  <w:u w:val="single"/>
                </w:rPr>
                <w:t>22</w:t>
              </w:r>
            </w:hyperlink>
            <w:hyperlink r:id="rId24">
              <w:r>
                <w:rPr>
                  <w:rStyle w:val="InternetLink"/>
                  <w:rFonts w:ascii="Times New Roman;sans-serif" w:hAnsi="Times New Roman;sans-serif"/>
                  <w:b w:val="false"/>
                  <w:color w:val="000080"/>
                  <w:sz w:val="20"/>
                  <w:u w:val="single"/>
                </w:rPr>
                <w:t xml:space="preserve">, 2024 (File </w:t>
              </w:r>
            </w:hyperlink>
            <w:hyperlink r:id="rId25">
              <w:r>
                <w:rPr>
                  <w:rStyle w:val="InternetLink"/>
                  <w:rFonts w:ascii="Times New Roman;sans-serif" w:hAnsi="Times New Roman;sans-serif"/>
                  <w:b w:val="false"/>
                  <w:color w:val="000080"/>
                  <w:sz w:val="20"/>
                  <w:u w:val="single"/>
                </w:rPr>
                <w:t>No.</w:t>
              </w:r>
            </w:hyperlink>
            <w:hyperlink r:id="rId26">
              <w:r>
                <w:rPr>
                  <w:rStyle w:val="InternetLink"/>
                  <w:rFonts w:ascii="Times New Roman;sans-serif" w:hAnsi="Times New Roman;sans-serif"/>
                  <w:b w:val="false"/>
                  <w:color w:val="000080"/>
                  <w:sz w:val="20"/>
                  <w:u w:val="single"/>
                </w:rPr>
                <w:t xml:space="preserve"> </w:t>
              </w:r>
            </w:hyperlink>
            <w:hyperlink r:id="rId27">
              <w:r>
                <w:rPr>
                  <w:rStyle w:val="InternetLink"/>
                  <w:rFonts w:ascii="Times New Roman;sans-serif" w:hAnsi="Times New Roman;sans-serif"/>
                  <w:b w:val="false"/>
                  <w:color w:val="000080"/>
                  <w:sz w:val="20"/>
                  <w:u w:val="single"/>
                </w:rPr>
                <w:t>00</w:t>
              </w:r>
            </w:hyperlink>
            <w:hyperlink r:id="rId28">
              <w:r>
                <w:rPr>
                  <w:rStyle w:val="InternetLink"/>
                  <w:rFonts w:ascii="Times New Roman;sans-serif" w:hAnsi="Times New Roman;sans-serif"/>
                  <w:b w:val="false"/>
                  <w:color w:val="000080"/>
                  <w:sz w:val="20"/>
                  <w:u w:val="single"/>
                </w:rPr>
                <w:t>1</w:t>
              </w:r>
            </w:hyperlink>
            <w:hyperlink r:id="rId29">
              <w:r>
                <w:rPr>
                  <w:rStyle w:val="InternetLink"/>
                  <w:rFonts w:ascii="Times New Roman;sans-serif" w:hAnsi="Times New Roman;sans-serif"/>
                  <w:b w:val="false"/>
                  <w:color w:val="000080"/>
                  <w:sz w:val="20"/>
                  <w:u w:val="single"/>
                </w:rPr>
                <w:noBreakHyphen/>
              </w:r>
            </w:hyperlink>
            <w:hyperlink r:id="rId30">
              <w:r>
                <w:rPr>
                  <w:rStyle w:val="InternetLink"/>
                  <w:rFonts w:ascii="Times New Roman;sans-serif" w:hAnsi="Times New Roman;sans-serif"/>
                  <w:b w:val="false"/>
                  <w:color w:val="000080"/>
                  <w:sz w:val="20"/>
                  <w:u w:val="single"/>
                </w:rPr>
                <w:t>39548) and incorporated herein by reference)</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3exhibit311.htm">
              <w:r>
                <w:rPr>
                  <w:rStyle w:val="InternetLink"/>
                  <w:rFonts w:ascii="Times New Roman;sans-serif" w:hAnsi="Times New Roman;sans-serif"/>
                  <w:b w:val="false"/>
                  <w:color w:val="0000FF"/>
                  <w:sz w:val="20"/>
                  <w:u w:val="single"/>
                </w:rPr>
                <w:t>Certification of CEO pursuant to Rule 13a-14(a) and Rule 15d-14(a) of the Securities Exchange Act of 1934, as amended</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3exhibit312.htm">
              <w:r>
                <w:rPr>
                  <w:rStyle w:val="InternetLink"/>
                  <w:rFonts w:ascii="Times New Roman;sans-serif" w:hAnsi="Times New Roman;sans-serif"/>
                  <w:b w:val="false"/>
                  <w:color w:val="0000FF"/>
                  <w:sz w:val="20"/>
                  <w:u w:val="single"/>
                </w:rPr>
                <w:t>Certification of CFO pursuant to Rule 13a-14(a) and Rule 15d-14(a) of the Securities Exchange Act of 1934, as amended</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4q3exhibit32.htm">
              <w:r>
                <w:rPr>
                  <w:rStyle w:val="InternetLink"/>
                  <w:rFonts w:ascii="Times New Roman;sans-serif" w:hAnsi="Times New Roman;sans-serif"/>
                  <w:b w:val="false"/>
                  <w:color w:val="0000FF"/>
                  <w:sz w:val="20"/>
                  <w:u w:val="single"/>
                </w:rPr>
                <w:t>Certification of CEO and CFO Pursuant to 18 U.S.C. Section 1350, as Adopted Pursuant to Section 906 of the Sarbanes-Oxley Act of 2002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064"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408"/>
        <w:gridCol w:w="408"/>
        <w:gridCol w:w="408"/>
        <w:gridCol w:w="703"/>
        <w:gridCol w:w="703"/>
        <w:gridCol w:w="100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Nicholas H. Cumins,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Werner Andre,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Bentley Systems, Incorporated (the “Company”) on Form 10</w:t>
        <w:noBreakHyphen/>
        <w:t>Q for the period ended September 30, 2024,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1308/000110465924110564/tm2426498d1_ex10-1.htm" TargetMode="External"/><Relationship Id="rId3" Type="http://schemas.openxmlformats.org/officeDocument/2006/relationships/hyperlink" Target="https://www.sec.gov/Archives/edgar/data/1031308/000110465924110564/tm2426498d1_ex10-1.htm" TargetMode="External"/><Relationship Id="rId4" Type="http://schemas.openxmlformats.org/officeDocument/2006/relationships/hyperlink" Target="https://www.sec.gov/Archives/edgar/data/1031308/000110465924110564/tm2426498d1_ex10-1.htm" TargetMode="External"/><Relationship Id="rId5" Type="http://schemas.openxmlformats.org/officeDocument/2006/relationships/hyperlink" Target="https://www.sec.gov/Archives/edgar/data/1031308/000110465924110564/tm2426498d1_ex10-1.htm" TargetMode="External"/><Relationship Id="rId6" Type="http://schemas.openxmlformats.org/officeDocument/2006/relationships/hyperlink" Target="https://www.sec.gov/Archives/edgar/data/1031308/000110465924110564/tm2426498d1_ex10-1.htm" TargetMode="External"/><Relationship Id="rId7" Type="http://schemas.openxmlformats.org/officeDocument/2006/relationships/hyperlink" Target="https://www.sec.gov/Archives/edgar/data/1031308/000110465924110564/tm2426498d1_ex10-1.htm" TargetMode="External"/><Relationship Id="rId8" Type="http://schemas.openxmlformats.org/officeDocument/2006/relationships/hyperlink" Target="https://www.sec.gov/Archives/edgar/data/1031308/000110465924110564/tm2426498d1_ex10-1.htm" TargetMode="External"/><Relationship Id="rId9" Type="http://schemas.openxmlformats.org/officeDocument/2006/relationships/hyperlink" Target="https://www.sec.gov/Archives/edgar/data/1031308/000110465924110564/tm2426498d1_ex10-1.htm" TargetMode="External"/><Relationship Id="rId10" Type="http://schemas.openxmlformats.org/officeDocument/2006/relationships/hyperlink" Target="https://www.sec.gov/Archives/edgar/data/1031308/000110465924110564/tm2426498d1_ex10-1.htm" TargetMode="External"/><Relationship Id="rId11" Type="http://schemas.openxmlformats.org/officeDocument/2006/relationships/hyperlink" Target="https://www.sec.gov/Archives/edgar/data/1031308/000110465924110564/tm2426498d1_ex10-1.htm" TargetMode="External"/><Relationship Id="rId12" Type="http://schemas.openxmlformats.org/officeDocument/2006/relationships/hyperlink" Target="https://www.sec.gov/Archives/edgar/data/1031308/000110465924110564/tm2426498d1_ex10-1.htm" TargetMode="External"/><Relationship Id="rId13" Type="http://schemas.openxmlformats.org/officeDocument/2006/relationships/hyperlink" Target="https://www.sec.gov/Archives/edgar/data/1031308/000110465924110564/tm2426498d1_ex10-1.htm" TargetMode="External"/><Relationship Id="rId14" Type="http://schemas.openxmlformats.org/officeDocument/2006/relationships/hyperlink" Target="https://www.sec.gov/Archives/edgar/data/1031308/000110465924110564/tm2426498d1_ex10-1.htm" TargetMode="External"/><Relationship Id="rId15" Type="http://schemas.openxmlformats.org/officeDocument/2006/relationships/hyperlink" Target="https://www.sec.gov/Archives/edgar/data/1031308/000110465924110564/tm2426498d1_ex10-1.htm" TargetMode="External"/><Relationship Id="rId16" Type="http://schemas.openxmlformats.org/officeDocument/2006/relationships/hyperlink" Target="https://www.sec.gov/Archives/edgar/data/1031308/000110465924110564/tm2426498d1_ex10-1.htm" TargetMode="External"/><Relationship Id="rId17" Type="http://schemas.openxmlformats.org/officeDocument/2006/relationships/hyperlink" Target="https://www.sec.gov/Archives/edgar/data/1031308/000110465924110564/tm2426498d1_ex10-1.htm" TargetMode="External"/><Relationship Id="rId18" Type="http://schemas.openxmlformats.org/officeDocument/2006/relationships/hyperlink" Target="https://www.sec.gov/Archives/edgar/data/1031308/000110465924110564/tm2426498d1_ex10-1.htm" TargetMode="External"/><Relationship Id="rId19" Type="http://schemas.openxmlformats.org/officeDocument/2006/relationships/hyperlink" Target="https://www.sec.gov/Archives/edgar/data/1031308/000110465924110564/tm2426498d1_ex10-1.htm" TargetMode="External"/><Relationship Id="rId20" Type="http://schemas.openxmlformats.org/officeDocument/2006/relationships/hyperlink" Target="https://www.sec.gov/Archives/edgar/data/1031308/000110465924110564/tm2426498d1_ex10-1.htm" TargetMode="External"/><Relationship Id="rId21" Type="http://schemas.openxmlformats.org/officeDocument/2006/relationships/hyperlink" Target="https://www.sec.gov/Archives/edgar/data/1031308/000110465924110564/tm2426498d1_ex10-1.htm" TargetMode="External"/><Relationship Id="rId22" Type="http://schemas.openxmlformats.org/officeDocument/2006/relationships/hyperlink" Target="https://www.sec.gov/Archives/edgar/data/1031308/000110465924110564/tm2426498d1_ex10-1.htm" TargetMode="External"/><Relationship Id="rId23" Type="http://schemas.openxmlformats.org/officeDocument/2006/relationships/hyperlink" Target="https://www.sec.gov/Archives/edgar/data/1031308/000110465924110564/tm2426498d1_ex10-1.htm" TargetMode="External"/><Relationship Id="rId24" Type="http://schemas.openxmlformats.org/officeDocument/2006/relationships/hyperlink" Target="https://www.sec.gov/Archives/edgar/data/1031308/000110465924110564/tm2426498d1_ex10-1.htm" TargetMode="External"/><Relationship Id="rId25" Type="http://schemas.openxmlformats.org/officeDocument/2006/relationships/hyperlink" Target="https://www.sec.gov/Archives/edgar/data/1031308/000110465924110564/tm2426498d1_ex10-1.htm" TargetMode="External"/><Relationship Id="rId26" Type="http://schemas.openxmlformats.org/officeDocument/2006/relationships/hyperlink" Target="https://www.sec.gov/Archives/edgar/data/1031308/000110465924110564/tm2426498d1_ex10-1.htm" TargetMode="External"/><Relationship Id="rId27" Type="http://schemas.openxmlformats.org/officeDocument/2006/relationships/hyperlink" Target="https://www.sec.gov/Archives/edgar/data/1031308/000110465924110564/tm2426498d1_ex10-1.htm" TargetMode="External"/><Relationship Id="rId28" Type="http://schemas.openxmlformats.org/officeDocument/2006/relationships/hyperlink" Target="https://www.sec.gov/Archives/edgar/data/1031308/000110465924110564/tm2426498d1_ex10-1.htm" TargetMode="External"/><Relationship Id="rId29" Type="http://schemas.openxmlformats.org/officeDocument/2006/relationships/hyperlink" Target="https://www.sec.gov/Archives/edgar/data/1031308/000110465924110564/tm2426498d1_ex10-1.htm" TargetMode="External"/><Relationship Id="rId30" Type="http://schemas.openxmlformats.org/officeDocument/2006/relationships/hyperlink" Target="https://www.sec.gov/Archives/edgar/data/1031308/000110465924110564/tm2426498d1_ex10-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21882</Words>
  <Characters>123259</Characters>
  <CharactersWithSpaces>142954</CharactersWithSpaces>
  <Paragraphs>3850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